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AD4F05" w:rsidRDefault="006544C4" w:rsidP="00907825">
      <w:pPr>
        <w:jc w:val="center"/>
        <w:rPr>
          <w:lang w:val="fr-FR"/>
        </w:rPr>
      </w:pPr>
      <w:bookmarkStart w:id="0" w:name="_GoBack"/>
      <w:bookmarkEnd w:id="0"/>
    </w:p>
    <w:p w:rsidR="006544C4" w:rsidRPr="00AD4F05" w:rsidRDefault="006544C4" w:rsidP="00907825">
      <w:pPr>
        <w:jc w:val="center"/>
        <w:rPr>
          <w:lang w:val="fr-FR"/>
        </w:rPr>
      </w:pPr>
    </w:p>
    <w:p w:rsidR="006544C4" w:rsidRPr="00AD4F05" w:rsidRDefault="007F063B" w:rsidP="00907825">
      <w:pPr>
        <w:pStyle w:val="DecHTitle"/>
        <w:rPr>
          <w:lang w:val="fr-FR"/>
        </w:rPr>
      </w:pPr>
      <w:r>
        <w:rPr>
          <w:szCs w:val="24"/>
          <w:lang w:val="fr-FR"/>
        </w:rPr>
        <w:t>PREMIÈRE SECTION</w:t>
      </w:r>
    </w:p>
    <w:p w:rsidR="006544C4" w:rsidRPr="00AD4F05" w:rsidRDefault="006544C4" w:rsidP="00907825">
      <w:pPr>
        <w:pStyle w:val="DecHTitle"/>
        <w:rPr>
          <w:caps/>
          <w:sz w:val="32"/>
          <w:lang w:val="fr-FR"/>
        </w:rPr>
      </w:pPr>
      <w:r w:rsidRPr="00AD4F05">
        <w:rPr>
          <w:lang w:val="fr-FR"/>
        </w:rPr>
        <w:t>DÉCISION</w:t>
      </w:r>
    </w:p>
    <w:p w:rsidR="006544C4" w:rsidRPr="00AD4F05" w:rsidRDefault="007F063B" w:rsidP="00907825">
      <w:pPr>
        <w:pStyle w:val="ECHRTitleCentre2"/>
        <w:rPr>
          <w:lang w:val="fr-FR"/>
        </w:rPr>
      </w:pPr>
      <w:r w:rsidRPr="00AD4F05">
        <w:rPr>
          <w:lang w:val="fr-FR"/>
        </w:rPr>
        <w:t>Requête n</w:t>
      </w:r>
      <w:r w:rsidRPr="00AD4F05">
        <w:rPr>
          <w:vertAlign w:val="superscript"/>
          <w:lang w:val="fr-FR"/>
        </w:rPr>
        <w:t>o</w:t>
      </w:r>
      <w:r w:rsidR="006544C4" w:rsidRPr="00AD4F05">
        <w:rPr>
          <w:lang w:val="fr-FR"/>
        </w:rPr>
        <w:t xml:space="preserve"> </w:t>
      </w:r>
      <w:r>
        <w:rPr>
          <w:lang w:val="fr-FR"/>
        </w:rPr>
        <w:t>300/05</w:t>
      </w:r>
      <w:r w:rsidR="006544C4" w:rsidRPr="00AD4F05">
        <w:rPr>
          <w:lang w:val="fr-FR"/>
        </w:rPr>
        <w:br/>
      </w:r>
      <w:r>
        <w:rPr>
          <w:lang w:val="fr-FR"/>
        </w:rPr>
        <w:t>Luigia</w:t>
      </w:r>
      <w:r w:rsidRPr="00AD4F05">
        <w:rPr>
          <w:lang w:val="fr-FR"/>
        </w:rPr>
        <w:t xml:space="preserve"> </w:t>
      </w:r>
      <w:r>
        <w:rPr>
          <w:lang w:val="fr-FR"/>
        </w:rPr>
        <w:t>DE PAOLA</w:t>
      </w:r>
      <w:r w:rsidRPr="00AD4F05">
        <w:rPr>
          <w:lang w:val="fr-FR"/>
        </w:rPr>
        <w:br/>
      </w:r>
      <w:r w:rsidR="006544C4" w:rsidRPr="00AD4F05">
        <w:rPr>
          <w:lang w:val="fr-FR"/>
        </w:rPr>
        <w:t xml:space="preserve">contre </w:t>
      </w:r>
      <w:r w:rsidRPr="00AD4F05">
        <w:rPr>
          <w:lang w:val="fr-FR"/>
        </w:rPr>
        <w:t>l</w:t>
      </w:r>
      <w:r w:rsidR="001F707F">
        <w:rPr>
          <w:lang w:val="fr-FR"/>
        </w:rPr>
        <w:t>’</w:t>
      </w:r>
      <w:r>
        <w:rPr>
          <w:lang w:val="fr-FR"/>
        </w:rPr>
        <w:t>Italie</w:t>
      </w:r>
    </w:p>
    <w:p w:rsidR="007F063B" w:rsidRPr="007B585E" w:rsidRDefault="007F063B" w:rsidP="00E75ABC">
      <w:pPr>
        <w:pStyle w:val="ECHRPara"/>
        <w:rPr>
          <w:lang w:val="fr-FR"/>
        </w:rPr>
      </w:pPr>
      <w:r w:rsidRPr="007B585E">
        <w:rPr>
          <w:lang w:val="fr-FR"/>
        </w:rPr>
        <w:t>La Cour européenne des droits de l</w:t>
      </w:r>
      <w:r w:rsidR="001F707F">
        <w:rPr>
          <w:lang w:val="fr-FR"/>
        </w:rPr>
        <w:t>’</w:t>
      </w:r>
      <w:r w:rsidRPr="007B585E">
        <w:rPr>
          <w:lang w:val="fr-FR"/>
        </w:rPr>
        <w:t>homme (</w:t>
      </w:r>
      <w:r>
        <w:rPr>
          <w:lang w:val="fr-FR"/>
        </w:rPr>
        <w:t>première</w:t>
      </w:r>
      <w:r w:rsidRPr="007B585E">
        <w:rPr>
          <w:lang w:val="fr-FR"/>
        </w:rPr>
        <w:t xml:space="preserve"> section), siégeant le </w:t>
      </w:r>
      <w:r>
        <w:rPr>
          <w:lang w:val="fr-FR"/>
        </w:rPr>
        <w:t>15 mars 2016 en un comité</w:t>
      </w:r>
      <w:r w:rsidRPr="007B585E">
        <w:rPr>
          <w:lang w:val="fr-FR"/>
        </w:rPr>
        <w:t xml:space="preserve"> composé de :</w:t>
      </w:r>
    </w:p>
    <w:p w:rsidR="007F063B" w:rsidRPr="007B585E" w:rsidRDefault="001D09D1" w:rsidP="00E75ABC">
      <w:pPr>
        <w:pStyle w:val="ECHRDecisionBody"/>
        <w:rPr>
          <w:lang w:val="fr-FR"/>
        </w:rPr>
      </w:pPr>
      <w:r w:rsidRPr="001D09D1">
        <w:rPr>
          <w:lang w:val="fr-FR"/>
        </w:rPr>
        <w:tab/>
        <w:t>Kristina Pardalos,</w:t>
      </w:r>
      <w:r w:rsidRPr="001D09D1">
        <w:rPr>
          <w:i/>
          <w:lang w:val="fr-FR"/>
        </w:rPr>
        <w:t xml:space="preserve"> présidente,</w:t>
      </w:r>
      <w:r w:rsidRPr="001D09D1">
        <w:rPr>
          <w:i/>
          <w:lang w:val="fr-FR"/>
        </w:rPr>
        <w:br/>
      </w:r>
      <w:r w:rsidRPr="001D09D1">
        <w:rPr>
          <w:lang w:val="fr-FR"/>
        </w:rPr>
        <w:tab/>
        <w:t>Paul Mahoney,</w:t>
      </w:r>
      <w:r w:rsidRPr="001D09D1">
        <w:rPr>
          <w:i/>
          <w:lang w:val="fr-FR"/>
        </w:rPr>
        <w:br/>
      </w:r>
      <w:r w:rsidRPr="001D09D1">
        <w:rPr>
          <w:lang w:val="fr-FR"/>
        </w:rPr>
        <w:tab/>
        <w:t>Robert Spano,</w:t>
      </w:r>
      <w:r w:rsidRPr="001D09D1">
        <w:rPr>
          <w:i/>
          <w:lang w:val="fr-FR"/>
        </w:rPr>
        <w:t xml:space="preserve"> juges,</w:t>
      </w:r>
      <w:r w:rsidRPr="001D09D1">
        <w:rPr>
          <w:i/>
          <w:lang w:val="fr-FR"/>
        </w:rPr>
        <w:br/>
      </w:r>
      <w:r w:rsidR="007F063B" w:rsidRPr="00565090">
        <w:rPr>
          <w:lang w:val="fr-FR"/>
        </w:rPr>
        <w:t xml:space="preserve">et de André Wampach, </w:t>
      </w:r>
      <w:r w:rsidR="007F063B" w:rsidRPr="00565090">
        <w:rPr>
          <w:i/>
          <w:lang w:val="fr-FR"/>
        </w:rPr>
        <w:t>greffier adjoint</w:t>
      </w:r>
      <w:r w:rsidR="007F063B" w:rsidRPr="00565090">
        <w:rPr>
          <w:i/>
          <w:iCs/>
          <w:lang w:val="fr-FR"/>
        </w:rPr>
        <w:t xml:space="preserve"> d</w:t>
      </w:r>
      <w:r w:rsidR="007F063B" w:rsidRPr="00565090">
        <w:rPr>
          <w:i/>
          <w:lang w:val="fr-FR"/>
        </w:rPr>
        <w:t>e section</w:t>
      </w:r>
      <w:r w:rsidR="007F063B" w:rsidRPr="007B585E">
        <w:rPr>
          <w:lang w:val="fr-FR"/>
        </w:rPr>
        <w:t>,</w:t>
      </w:r>
    </w:p>
    <w:p w:rsidR="007F063B" w:rsidRPr="007B585E" w:rsidRDefault="007F063B" w:rsidP="00E75ABC">
      <w:pPr>
        <w:pStyle w:val="ECHRPara"/>
        <w:rPr>
          <w:lang w:val="fr-FR"/>
        </w:rPr>
      </w:pPr>
      <w:r w:rsidRPr="007B585E">
        <w:rPr>
          <w:lang w:val="fr-FR"/>
        </w:rPr>
        <w:t xml:space="preserve">Vu la requête susmentionnée introduite le </w:t>
      </w:r>
      <w:r>
        <w:rPr>
          <w:lang w:val="fr-FR"/>
        </w:rPr>
        <w:t>9 février 2000</w:t>
      </w:r>
      <w:r w:rsidRPr="007B585E">
        <w:rPr>
          <w:lang w:val="fr-FR"/>
        </w:rPr>
        <w:t>,</w:t>
      </w:r>
    </w:p>
    <w:p w:rsidR="007F063B" w:rsidRPr="007B585E" w:rsidRDefault="007F063B" w:rsidP="00E75ABC">
      <w:pPr>
        <w:pStyle w:val="ECHRPara"/>
        <w:rPr>
          <w:lang w:val="fr-FR"/>
        </w:rPr>
      </w:pPr>
      <w:r w:rsidRPr="007B585E">
        <w:rPr>
          <w:lang w:val="fr-FR"/>
        </w:rPr>
        <w:t>Vu les observations soumises par le gouvernement défendeur et celles présentées en réponse par la requérante,</w:t>
      </w:r>
    </w:p>
    <w:p w:rsidR="007F063B" w:rsidRDefault="007F063B" w:rsidP="00E75ABC">
      <w:pPr>
        <w:pStyle w:val="ECHRPara"/>
        <w:rPr>
          <w:lang w:val="fr-FR"/>
        </w:rPr>
      </w:pPr>
      <w:r w:rsidRPr="007B585E">
        <w:rPr>
          <w:lang w:val="fr-FR"/>
        </w:rPr>
        <w:t>Après en avoir délibéré, rend la décision suivante :</w:t>
      </w:r>
      <w:bookmarkStart w:id="1" w:name="ITMarkFactsComplaintsStart"/>
      <w:bookmarkEnd w:id="1"/>
    </w:p>
    <w:p w:rsidR="007F063B" w:rsidRPr="004D0EF2" w:rsidRDefault="007F063B" w:rsidP="00E75ABC">
      <w:pPr>
        <w:pStyle w:val="ECHRTitle1"/>
        <w:rPr>
          <w:lang w:val="fr-FR"/>
        </w:rPr>
      </w:pPr>
      <w:r>
        <w:rPr>
          <w:lang w:val="fr-FR"/>
        </w:rPr>
        <w:t>EN FAIT</w:t>
      </w:r>
    </w:p>
    <w:p w:rsidR="007F063B" w:rsidRDefault="007F063B" w:rsidP="00E75ABC">
      <w:pPr>
        <w:pStyle w:val="ECHRPara"/>
        <w:rPr>
          <w:lang w:val="fr-FR"/>
        </w:rPr>
      </w:pPr>
      <w:r>
        <w:rPr>
          <w:lang w:val="fr-FR"/>
        </w:rPr>
        <w:t>1.  </w:t>
      </w:r>
      <w:r w:rsidRPr="00440462">
        <w:rPr>
          <w:lang w:val="fr-FR"/>
        </w:rPr>
        <w:t>La requérante, M</w:t>
      </w:r>
      <w:r w:rsidRPr="00440462">
        <w:rPr>
          <w:vertAlign w:val="superscript"/>
          <w:lang w:val="fr-FR"/>
        </w:rPr>
        <w:t>me</w:t>
      </w:r>
      <w:r w:rsidRPr="00440462">
        <w:rPr>
          <w:lang w:val="fr-FR"/>
        </w:rPr>
        <w:t xml:space="preserve"> Luigia de Paola, est une ressortissante italienne, née en 1945 et résidant à Bénévent. </w:t>
      </w:r>
      <w:r>
        <w:rPr>
          <w:lang w:val="fr-FR"/>
        </w:rPr>
        <w:t>Elle a été</w:t>
      </w:r>
      <w:r w:rsidRPr="004D0EF2">
        <w:rPr>
          <w:lang w:val="fr-FR"/>
        </w:rPr>
        <w:t xml:space="preserve"> représentée devant la Cour par M</w:t>
      </w:r>
      <w:r w:rsidRPr="004D0EF2">
        <w:rPr>
          <w:vertAlign w:val="superscript"/>
          <w:lang w:val="fr-FR"/>
        </w:rPr>
        <w:t>e</w:t>
      </w:r>
      <w:r>
        <w:rPr>
          <w:lang w:val="fr-FR"/>
        </w:rPr>
        <w:t> F. Altieri</w:t>
      </w:r>
      <w:r w:rsidRPr="004D0EF2">
        <w:rPr>
          <w:lang w:val="fr-FR"/>
        </w:rPr>
        <w:t>, avocat à Bénévent.</w:t>
      </w:r>
    </w:p>
    <w:p w:rsidR="007F063B" w:rsidRPr="000B6904" w:rsidRDefault="007F063B" w:rsidP="00E75ABC">
      <w:pPr>
        <w:pStyle w:val="ECHRPara"/>
        <w:rPr>
          <w:lang w:val="fr-FR"/>
        </w:rPr>
      </w:pPr>
      <w:r>
        <w:rPr>
          <w:lang w:val="pt-BR"/>
        </w:rPr>
        <w:t>2</w:t>
      </w:r>
      <w:r w:rsidRPr="000B6904">
        <w:rPr>
          <w:lang w:val="pt-BR"/>
        </w:rPr>
        <w:t xml:space="preserve">.  Le gouvernement italien (« le Gouvernement ») a été représenté par son agent, </w:t>
      </w:r>
      <w:r w:rsidRPr="000B6904">
        <w:rPr>
          <w:lang w:val="fr-FR"/>
        </w:rPr>
        <w:t>M</w:t>
      </w:r>
      <w:r w:rsidRPr="000B6904">
        <w:rPr>
          <w:vertAlign w:val="superscript"/>
          <w:lang w:val="fr-FR"/>
        </w:rPr>
        <w:t>me</w:t>
      </w:r>
      <w:r w:rsidRPr="000B6904">
        <w:rPr>
          <w:lang w:val="fr-FR"/>
        </w:rPr>
        <w:t xml:space="preserve"> E. Spatafora, son ancien coagent M. N. Lettieri, et s</w:t>
      </w:r>
      <w:r w:rsidR="006D5452">
        <w:rPr>
          <w:lang w:val="fr-FR"/>
        </w:rPr>
        <w:t>on</w:t>
      </w:r>
      <w:r w:rsidRPr="000B6904">
        <w:rPr>
          <w:lang w:val="fr-FR"/>
        </w:rPr>
        <w:t xml:space="preserve"> coagent M</w:t>
      </w:r>
      <w:r w:rsidRPr="000B6904">
        <w:rPr>
          <w:vertAlign w:val="superscript"/>
          <w:lang w:val="fr-FR"/>
        </w:rPr>
        <w:t>me </w:t>
      </w:r>
      <w:r w:rsidRPr="000B6904">
        <w:rPr>
          <w:lang w:val="fr-FR"/>
        </w:rPr>
        <w:t>P. Accardo.</w:t>
      </w:r>
    </w:p>
    <w:p w:rsidR="007F063B" w:rsidRPr="00440462" w:rsidRDefault="007F063B" w:rsidP="00E75ABC">
      <w:pPr>
        <w:pStyle w:val="ECHRHeading2"/>
        <w:rPr>
          <w:lang w:val="fr-FR"/>
        </w:rPr>
      </w:pPr>
      <w:r w:rsidRPr="00440462">
        <w:rPr>
          <w:lang w:val="fr-FR"/>
        </w:rPr>
        <w:t>Les circonstances de l</w:t>
      </w:r>
      <w:r w:rsidR="001F707F">
        <w:rPr>
          <w:lang w:val="fr-FR"/>
        </w:rPr>
        <w:t>’</w:t>
      </w:r>
      <w:r w:rsidRPr="00440462">
        <w:rPr>
          <w:lang w:val="fr-FR"/>
        </w:rPr>
        <w:t>espèce</w:t>
      </w:r>
    </w:p>
    <w:p w:rsidR="007F063B" w:rsidRPr="00440462" w:rsidRDefault="007F063B" w:rsidP="00E75ABC">
      <w:pPr>
        <w:pStyle w:val="ECHRPara"/>
        <w:rPr>
          <w:lang w:val="fr-FR"/>
        </w:rPr>
      </w:pPr>
      <w:r>
        <w:rPr>
          <w:lang w:val="fr-FR"/>
        </w:rPr>
        <w:t>3.  </w:t>
      </w:r>
      <w:r w:rsidRPr="00440462">
        <w:rPr>
          <w:lang w:val="fr-FR"/>
        </w:rPr>
        <w:t>Le père de la requérante était propriétaire d</w:t>
      </w:r>
      <w:r w:rsidR="001F707F">
        <w:rPr>
          <w:lang w:val="fr-FR"/>
        </w:rPr>
        <w:t>’</w:t>
      </w:r>
      <w:r w:rsidRPr="00440462">
        <w:rPr>
          <w:lang w:val="fr-FR"/>
        </w:rPr>
        <w:t>un terrain de 50 148 m² sis à Bénévent, enregistré au cadastre feuille 24, parcelles 51, 254 et 255.</w:t>
      </w:r>
    </w:p>
    <w:p w:rsidR="007F063B" w:rsidRPr="00440462" w:rsidRDefault="007F063B" w:rsidP="00E75ABC">
      <w:pPr>
        <w:pStyle w:val="ECHRPara"/>
        <w:rPr>
          <w:lang w:val="fr-FR"/>
        </w:rPr>
      </w:pPr>
      <w:r>
        <w:rPr>
          <w:lang w:val="fr-FR"/>
        </w:rPr>
        <w:t>4.  </w:t>
      </w:r>
      <w:r w:rsidRPr="00440462">
        <w:rPr>
          <w:lang w:val="fr-FR"/>
        </w:rPr>
        <w:t>Par un arrêté du 19 juin 1996, la municipalité de Bénévent autorisa la compagnie nationale pour l</w:t>
      </w:r>
      <w:r w:rsidR="001F707F">
        <w:rPr>
          <w:lang w:val="fr-FR"/>
        </w:rPr>
        <w:t>’</w:t>
      </w:r>
      <w:r w:rsidRPr="00440462">
        <w:rPr>
          <w:lang w:val="fr-FR"/>
        </w:rPr>
        <w:t>électricité (« l</w:t>
      </w:r>
      <w:r w:rsidR="001F707F">
        <w:rPr>
          <w:lang w:val="fr-FR"/>
        </w:rPr>
        <w:t>’</w:t>
      </w:r>
      <w:r w:rsidRPr="00440462">
        <w:rPr>
          <w:lang w:val="fr-FR"/>
        </w:rPr>
        <w:t>ENEL ») à occuper d</w:t>
      </w:r>
      <w:r w:rsidR="001F707F">
        <w:rPr>
          <w:lang w:val="fr-FR"/>
        </w:rPr>
        <w:t>’</w:t>
      </w:r>
      <w:r w:rsidRPr="00440462">
        <w:rPr>
          <w:lang w:val="fr-FR"/>
        </w:rPr>
        <w:t xml:space="preserve">urgence </w:t>
      </w:r>
      <w:r w:rsidRPr="00440462">
        <w:rPr>
          <w:lang w:val="fr-FR"/>
        </w:rPr>
        <w:lastRenderedPageBreak/>
        <w:t>ledit terrain pour une période de cinq ans afin d</w:t>
      </w:r>
      <w:r w:rsidR="001F707F">
        <w:rPr>
          <w:lang w:val="fr-FR"/>
        </w:rPr>
        <w:t>’</w:t>
      </w:r>
      <w:r w:rsidRPr="00440462">
        <w:rPr>
          <w:lang w:val="fr-FR"/>
        </w:rPr>
        <w:t>y construire une installation électrique.</w:t>
      </w:r>
    </w:p>
    <w:p w:rsidR="007F063B" w:rsidRPr="004D0EF2" w:rsidRDefault="007F063B" w:rsidP="00E75ABC">
      <w:pPr>
        <w:pStyle w:val="ECHRPara"/>
        <w:rPr>
          <w:lang w:val="fr-FR"/>
        </w:rPr>
      </w:pPr>
      <w:r>
        <w:rPr>
          <w:lang w:val="fr-FR"/>
        </w:rPr>
        <w:t>5.  </w:t>
      </w:r>
      <w:r w:rsidRPr="004D0EF2">
        <w:rPr>
          <w:lang w:val="fr-FR"/>
        </w:rPr>
        <w:t>Le terrain fut occupé matériellement le 29 juillet 1991.</w:t>
      </w:r>
    </w:p>
    <w:p w:rsidR="007F063B" w:rsidRPr="00440462" w:rsidRDefault="007F063B" w:rsidP="00E75ABC">
      <w:pPr>
        <w:pStyle w:val="ECHRHeading3"/>
        <w:rPr>
          <w:lang w:val="fr-FR"/>
        </w:rPr>
      </w:pPr>
      <w:r>
        <w:rPr>
          <w:lang w:val="fr-FR"/>
        </w:rPr>
        <w:t>1.  </w:t>
      </w:r>
      <w:r w:rsidRPr="00440462">
        <w:rPr>
          <w:lang w:val="fr-FR"/>
        </w:rPr>
        <w:t>La procédure de dédommagement pour l</w:t>
      </w:r>
      <w:r w:rsidR="001F707F">
        <w:rPr>
          <w:lang w:val="fr-FR"/>
        </w:rPr>
        <w:t>’</w:t>
      </w:r>
      <w:r w:rsidRPr="00440462">
        <w:rPr>
          <w:lang w:val="fr-FR"/>
        </w:rPr>
        <w:t>occupation du terrain</w:t>
      </w:r>
    </w:p>
    <w:p w:rsidR="007F063B" w:rsidRPr="00A87381" w:rsidRDefault="007F063B" w:rsidP="00E75ABC">
      <w:pPr>
        <w:pStyle w:val="ECHRPara"/>
        <w:rPr>
          <w:lang w:val="fr-FR"/>
        </w:rPr>
      </w:pPr>
      <w:r>
        <w:rPr>
          <w:lang w:val="fr-FR"/>
        </w:rPr>
        <w:t>6.  </w:t>
      </w:r>
      <w:r w:rsidRPr="00A87381">
        <w:rPr>
          <w:lang w:val="fr-FR"/>
        </w:rPr>
        <w:t>Par un acte notifié le 5 octobre 1994, le père de la requérante introduisit devant le tribunal de Bénévent un recours en dommages-intérêts à l</w:t>
      </w:r>
      <w:r w:rsidR="001F707F">
        <w:rPr>
          <w:lang w:val="fr-FR"/>
        </w:rPr>
        <w:t>’</w:t>
      </w:r>
      <w:r w:rsidRPr="00A87381">
        <w:rPr>
          <w:lang w:val="fr-FR"/>
        </w:rPr>
        <w:t>encontre de l</w:t>
      </w:r>
      <w:r w:rsidR="001F707F">
        <w:rPr>
          <w:lang w:val="fr-FR"/>
        </w:rPr>
        <w:t>’</w:t>
      </w:r>
      <w:r w:rsidRPr="00A87381">
        <w:rPr>
          <w:lang w:val="fr-FR"/>
        </w:rPr>
        <w:t>ENEL</w:t>
      </w:r>
      <w:r w:rsidRPr="00A87381">
        <w:rPr>
          <w:iCs/>
          <w:lang w:val="fr-FR"/>
        </w:rPr>
        <w:t>.</w:t>
      </w:r>
      <w:r w:rsidRPr="00A87381">
        <w:rPr>
          <w:lang w:val="fr-FR"/>
        </w:rPr>
        <w:t xml:space="preserve"> Il alléguait que l</w:t>
      </w:r>
      <w:r w:rsidR="001F707F">
        <w:rPr>
          <w:lang w:val="fr-FR"/>
        </w:rPr>
        <w:t>’</w:t>
      </w:r>
      <w:r w:rsidRPr="00A87381">
        <w:rPr>
          <w:lang w:val="fr-FR"/>
        </w:rPr>
        <w:t>occupation du terrain était illégale et réclamait, à titre de dédommagement, la destruction de l</w:t>
      </w:r>
      <w:r w:rsidR="001F707F">
        <w:rPr>
          <w:lang w:val="fr-FR"/>
        </w:rPr>
        <w:t>’</w:t>
      </w:r>
      <w:r w:rsidRPr="00A87381">
        <w:rPr>
          <w:lang w:val="fr-FR"/>
        </w:rPr>
        <w:t>installation électrique, la restitution de son terrain et le payement d</w:t>
      </w:r>
      <w:r w:rsidR="001F707F">
        <w:rPr>
          <w:lang w:val="fr-FR"/>
        </w:rPr>
        <w:t>’</w:t>
      </w:r>
      <w:r w:rsidRPr="00A87381">
        <w:rPr>
          <w:lang w:val="fr-FR"/>
        </w:rPr>
        <w:t>un dédommagement et d</w:t>
      </w:r>
      <w:r w:rsidR="001F707F">
        <w:rPr>
          <w:lang w:val="fr-FR"/>
        </w:rPr>
        <w:t>’</w:t>
      </w:r>
      <w:r w:rsidRPr="00A87381">
        <w:rPr>
          <w:lang w:val="fr-FR"/>
        </w:rPr>
        <w:t>une indemnité.</w:t>
      </w:r>
    </w:p>
    <w:p w:rsidR="007F063B" w:rsidRPr="00A87381" w:rsidRDefault="007F063B" w:rsidP="00E75ABC">
      <w:pPr>
        <w:pStyle w:val="ECHRPara"/>
        <w:rPr>
          <w:lang w:val="fr-FR"/>
        </w:rPr>
      </w:pPr>
      <w:r>
        <w:rPr>
          <w:lang w:val="fr-FR"/>
        </w:rPr>
        <w:t>7.  </w:t>
      </w:r>
      <w:r w:rsidRPr="00A87381">
        <w:rPr>
          <w:lang w:val="fr-FR"/>
        </w:rPr>
        <w:t>Le 28 juin 1999, la requérante se constitua dans la procédure en tant qu</w:t>
      </w:r>
      <w:r w:rsidR="001F707F">
        <w:rPr>
          <w:lang w:val="fr-FR"/>
        </w:rPr>
        <w:t>’</w:t>
      </w:r>
      <w:r w:rsidRPr="00A87381">
        <w:rPr>
          <w:lang w:val="fr-FR"/>
        </w:rPr>
        <w:t>héritière de son père, qui était décédé le 4 janvier 1995.</w:t>
      </w:r>
    </w:p>
    <w:p w:rsidR="007F063B" w:rsidRPr="00A87381" w:rsidRDefault="007F063B" w:rsidP="00E75ABC">
      <w:pPr>
        <w:pStyle w:val="ECHRPara"/>
        <w:rPr>
          <w:lang w:val="fr-FR"/>
        </w:rPr>
      </w:pPr>
      <w:r>
        <w:rPr>
          <w:lang w:val="fr-FR"/>
        </w:rPr>
        <w:t>8.  </w:t>
      </w:r>
      <w:r w:rsidRPr="00A87381">
        <w:rPr>
          <w:lang w:val="fr-FR"/>
        </w:rPr>
        <w:t>Le tribunal ordonna une expertise technique. Dans son rapport déposé le 6 mai 2002, l</w:t>
      </w:r>
      <w:r w:rsidR="001F707F">
        <w:rPr>
          <w:lang w:val="fr-FR"/>
        </w:rPr>
        <w:t>’</w:t>
      </w:r>
      <w:r w:rsidRPr="00A87381">
        <w:rPr>
          <w:lang w:val="fr-FR"/>
        </w:rPr>
        <w:t>expert releva que la partie du terrain concerné par la construction de l</w:t>
      </w:r>
      <w:r w:rsidR="001F707F">
        <w:rPr>
          <w:lang w:val="fr-FR"/>
        </w:rPr>
        <w:t>’</w:t>
      </w:r>
      <w:r w:rsidRPr="00A87381">
        <w:rPr>
          <w:lang w:val="fr-FR"/>
        </w:rPr>
        <w:t>ouvrage public était de 17 890 m². Il affirma ensuite que la valeur vénale du terrain au moment de l</w:t>
      </w:r>
      <w:r w:rsidR="001F707F">
        <w:rPr>
          <w:lang w:val="fr-FR"/>
        </w:rPr>
        <w:t>’</w:t>
      </w:r>
      <w:r w:rsidRPr="00A87381">
        <w:rPr>
          <w:lang w:val="fr-FR"/>
        </w:rPr>
        <w:t>occupation était de 8</w:t>
      </w:r>
      <w:r w:rsidR="005C056D">
        <w:rPr>
          <w:lang w:val="fr-FR"/>
        </w:rPr>
        <w:t> </w:t>
      </w:r>
      <w:r>
        <w:rPr>
          <w:lang w:val="fr-FR"/>
        </w:rPr>
        <w:t>euros (</w:t>
      </w:r>
      <w:r w:rsidRPr="00A87381">
        <w:rPr>
          <w:lang w:val="fr-FR"/>
        </w:rPr>
        <w:t>EUR</w:t>
      </w:r>
      <w:r>
        <w:rPr>
          <w:lang w:val="fr-FR"/>
        </w:rPr>
        <w:t>)</w:t>
      </w:r>
      <w:r w:rsidRPr="00A87381">
        <w:rPr>
          <w:lang w:val="fr-FR"/>
        </w:rPr>
        <w:t>/m² et, après avoir calculé sa perte de valeur suite à la réalisation de l</w:t>
      </w:r>
      <w:r w:rsidR="001F707F">
        <w:rPr>
          <w:lang w:val="fr-FR"/>
        </w:rPr>
        <w:t>’</w:t>
      </w:r>
      <w:r w:rsidRPr="00A87381">
        <w:rPr>
          <w:lang w:val="fr-FR"/>
        </w:rPr>
        <w:t>ouvrage, il fixa le montant du dédommagement à 25 363 EUR. Enfin, l</w:t>
      </w:r>
      <w:r w:rsidR="001F707F">
        <w:rPr>
          <w:lang w:val="fr-FR"/>
        </w:rPr>
        <w:t>’</w:t>
      </w:r>
      <w:r w:rsidRPr="00A87381">
        <w:rPr>
          <w:lang w:val="fr-FR"/>
        </w:rPr>
        <w:t>expert fixa l</w:t>
      </w:r>
      <w:r w:rsidR="001F707F">
        <w:rPr>
          <w:lang w:val="fr-FR"/>
        </w:rPr>
        <w:t>’</w:t>
      </w:r>
      <w:r w:rsidRPr="00A87381">
        <w:rPr>
          <w:lang w:val="fr-FR"/>
        </w:rPr>
        <w:t>indemnité d</w:t>
      </w:r>
      <w:r w:rsidR="001F707F">
        <w:rPr>
          <w:lang w:val="fr-FR"/>
        </w:rPr>
        <w:t>’</w:t>
      </w:r>
      <w:r w:rsidRPr="00A87381">
        <w:rPr>
          <w:lang w:val="fr-FR"/>
        </w:rPr>
        <w:t>occupation, calculée au moment de l</w:t>
      </w:r>
      <w:r w:rsidR="001F707F">
        <w:rPr>
          <w:lang w:val="fr-FR"/>
        </w:rPr>
        <w:t>’</w:t>
      </w:r>
      <w:r w:rsidRPr="00A87381">
        <w:rPr>
          <w:lang w:val="fr-FR"/>
        </w:rPr>
        <w:t>expiration de la période d</w:t>
      </w:r>
      <w:r w:rsidR="001F707F">
        <w:rPr>
          <w:lang w:val="fr-FR"/>
        </w:rPr>
        <w:t>’</w:t>
      </w:r>
      <w:r w:rsidRPr="00A87381">
        <w:rPr>
          <w:lang w:val="fr-FR"/>
        </w:rPr>
        <w:t>occupation légitime, à savoir le 28 juillet 1996, à 12 792,35</w:t>
      </w:r>
      <w:r w:rsidR="001D09D1">
        <w:rPr>
          <w:lang w:val="fr-FR"/>
        </w:rPr>
        <w:t> </w:t>
      </w:r>
      <w:r w:rsidRPr="00A87381">
        <w:rPr>
          <w:lang w:val="fr-FR"/>
        </w:rPr>
        <w:t>EUR.</w:t>
      </w:r>
    </w:p>
    <w:p w:rsidR="007F063B" w:rsidRPr="00A87381" w:rsidRDefault="007F063B" w:rsidP="00E75ABC">
      <w:pPr>
        <w:pStyle w:val="ECHRPara"/>
        <w:rPr>
          <w:lang w:val="fr-FR"/>
        </w:rPr>
      </w:pPr>
      <w:r>
        <w:rPr>
          <w:lang w:val="fr-FR"/>
        </w:rPr>
        <w:t>9</w:t>
      </w:r>
      <w:r w:rsidRPr="00393F65">
        <w:rPr>
          <w:lang w:val="fr-FR"/>
        </w:rPr>
        <w:t>.  </w:t>
      </w:r>
      <w:r w:rsidRPr="00CF27D5">
        <w:rPr>
          <w:lang w:val="fr-FR"/>
        </w:rPr>
        <w:t>Par un jugement déposé le 10 janvier 2006, le tribunal de Bénévent constata que l</w:t>
      </w:r>
      <w:r w:rsidR="001F707F">
        <w:rPr>
          <w:lang w:val="fr-FR"/>
        </w:rPr>
        <w:t>’</w:t>
      </w:r>
      <w:r w:rsidRPr="00CF27D5">
        <w:rPr>
          <w:lang w:val="fr-FR"/>
        </w:rPr>
        <w:t>administration n</w:t>
      </w:r>
      <w:r w:rsidR="001F707F">
        <w:rPr>
          <w:lang w:val="fr-FR"/>
        </w:rPr>
        <w:t>’</w:t>
      </w:r>
      <w:r w:rsidRPr="00CF27D5">
        <w:rPr>
          <w:lang w:val="fr-FR"/>
        </w:rPr>
        <w:t>avait pas finalisé l</w:t>
      </w:r>
      <w:r w:rsidR="001F707F">
        <w:rPr>
          <w:lang w:val="fr-FR"/>
        </w:rPr>
        <w:t>’</w:t>
      </w:r>
      <w:r w:rsidRPr="00CF27D5">
        <w:rPr>
          <w:lang w:val="fr-FR"/>
        </w:rPr>
        <w:t>expropriation du terrain avant l</w:t>
      </w:r>
      <w:r w:rsidR="001F707F">
        <w:rPr>
          <w:lang w:val="fr-FR"/>
        </w:rPr>
        <w:t>’</w:t>
      </w:r>
      <w:r w:rsidRPr="00CF27D5">
        <w:rPr>
          <w:lang w:val="fr-FR"/>
        </w:rPr>
        <w:t>échéance du délai fixé pour l</w:t>
      </w:r>
      <w:r w:rsidR="001F707F">
        <w:rPr>
          <w:lang w:val="fr-FR"/>
        </w:rPr>
        <w:t>’</w:t>
      </w:r>
      <w:r w:rsidRPr="00CF27D5">
        <w:rPr>
          <w:lang w:val="fr-FR"/>
        </w:rPr>
        <w:t>occupation, mais qu</w:t>
      </w:r>
      <w:r w:rsidR="001F707F">
        <w:rPr>
          <w:lang w:val="fr-FR"/>
        </w:rPr>
        <w:t>’</w:t>
      </w:r>
      <w:r w:rsidRPr="00CF27D5">
        <w:rPr>
          <w:lang w:val="fr-FR"/>
        </w:rPr>
        <w:t xml:space="preserve">elle avait toutefois construit </w:t>
      </w:r>
      <w:r>
        <w:rPr>
          <w:lang w:val="fr-FR"/>
        </w:rPr>
        <w:t>l</w:t>
      </w:r>
      <w:r w:rsidR="001F707F">
        <w:rPr>
          <w:lang w:val="fr-FR"/>
        </w:rPr>
        <w:t>’</w:t>
      </w:r>
      <w:r>
        <w:rPr>
          <w:lang w:val="fr-FR"/>
        </w:rPr>
        <w:t>installation électrique</w:t>
      </w:r>
      <w:r w:rsidRPr="00CF27D5">
        <w:rPr>
          <w:lang w:val="fr-FR"/>
        </w:rPr>
        <w:t>. Le tribunal affirma que la requérante avait droit à un dédommagement correspondant à la valeur vénale du terrain et à une indemnité d</w:t>
      </w:r>
      <w:r w:rsidR="001F707F">
        <w:rPr>
          <w:lang w:val="fr-FR"/>
        </w:rPr>
        <w:t>’</w:t>
      </w:r>
      <w:r w:rsidRPr="00CF27D5">
        <w:rPr>
          <w:lang w:val="fr-FR"/>
        </w:rPr>
        <w:t>occupation. Il condamna l</w:t>
      </w:r>
      <w:r w:rsidR="001F707F">
        <w:rPr>
          <w:lang w:val="fr-FR"/>
        </w:rPr>
        <w:t>’</w:t>
      </w:r>
      <w:r w:rsidRPr="00CF27D5">
        <w:rPr>
          <w:lang w:val="fr-FR"/>
        </w:rPr>
        <w:t>ENEL à payer à la requérante les sommes établies par l</w:t>
      </w:r>
      <w:r w:rsidR="001F707F">
        <w:rPr>
          <w:lang w:val="fr-FR"/>
        </w:rPr>
        <w:t>’</w:t>
      </w:r>
      <w:r w:rsidRPr="00CF27D5">
        <w:rPr>
          <w:lang w:val="fr-FR"/>
        </w:rPr>
        <w:t>expert à titre de dédommagement et d</w:t>
      </w:r>
      <w:r w:rsidR="001F707F">
        <w:rPr>
          <w:lang w:val="fr-FR"/>
        </w:rPr>
        <w:t>’</w:t>
      </w:r>
      <w:r w:rsidRPr="00CF27D5">
        <w:rPr>
          <w:lang w:val="fr-FR"/>
        </w:rPr>
        <w:t>indemnité d</w:t>
      </w:r>
      <w:r w:rsidR="001F707F">
        <w:rPr>
          <w:lang w:val="fr-FR"/>
        </w:rPr>
        <w:t>’</w:t>
      </w:r>
      <w:r w:rsidRPr="00CF27D5">
        <w:rPr>
          <w:lang w:val="fr-FR"/>
        </w:rPr>
        <w:t>occupation, réévaluées</w:t>
      </w:r>
      <w:r>
        <w:rPr>
          <w:lang w:val="fr-FR"/>
        </w:rPr>
        <w:t xml:space="preserve"> </w:t>
      </w:r>
      <w:r w:rsidRPr="00CF27D5">
        <w:rPr>
          <w:lang w:val="fr-FR"/>
        </w:rPr>
        <w:t>soit 41 322 EUR, plus les intérêts légaux.</w:t>
      </w:r>
    </w:p>
    <w:p w:rsidR="007F063B" w:rsidRDefault="007F063B" w:rsidP="00E75ABC">
      <w:pPr>
        <w:pStyle w:val="ECHRPara"/>
        <w:rPr>
          <w:lang w:val="fr-FR"/>
        </w:rPr>
      </w:pPr>
      <w:r>
        <w:rPr>
          <w:lang w:val="fr-FR"/>
        </w:rPr>
        <w:t>10.  </w:t>
      </w:r>
      <w:r w:rsidRPr="00A87381">
        <w:rPr>
          <w:lang w:val="fr-FR"/>
        </w:rPr>
        <w:t>L</w:t>
      </w:r>
      <w:r w:rsidR="001F707F">
        <w:rPr>
          <w:lang w:val="fr-FR"/>
        </w:rPr>
        <w:t>’</w:t>
      </w:r>
      <w:r w:rsidRPr="00A87381">
        <w:rPr>
          <w:lang w:val="fr-FR"/>
        </w:rPr>
        <w:t>ENEL interjeta appel</w:t>
      </w:r>
      <w:r>
        <w:rPr>
          <w:lang w:val="fr-FR"/>
        </w:rPr>
        <w:t xml:space="preserve"> de ce jugement devant la cour d</w:t>
      </w:r>
      <w:r w:rsidR="001F707F">
        <w:rPr>
          <w:lang w:val="fr-FR"/>
        </w:rPr>
        <w:t>’</w:t>
      </w:r>
      <w:r>
        <w:rPr>
          <w:lang w:val="fr-FR"/>
        </w:rPr>
        <w:t>appel de Naples</w:t>
      </w:r>
      <w:r w:rsidRPr="00A87381">
        <w:rPr>
          <w:lang w:val="fr-FR"/>
        </w:rPr>
        <w:t>. La compagnie affirma que le terrain de la requérante n</w:t>
      </w:r>
      <w:r w:rsidR="001F707F">
        <w:rPr>
          <w:lang w:val="fr-FR"/>
        </w:rPr>
        <w:t>’</w:t>
      </w:r>
      <w:r w:rsidRPr="00A87381">
        <w:rPr>
          <w:lang w:val="fr-FR"/>
        </w:rPr>
        <w:t xml:space="preserve">était pas constructible mais agricole et </w:t>
      </w:r>
      <w:r>
        <w:rPr>
          <w:lang w:val="fr-FR"/>
        </w:rPr>
        <w:t>demanda</w:t>
      </w:r>
      <w:r w:rsidRPr="00A87381">
        <w:rPr>
          <w:lang w:val="fr-FR"/>
        </w:rPr>
        <w:t xml:space="preserve"> que le montant de l</w:t>
      </w:r>
      <w:r w:rsidR="001F707F">
        <w:rPr>
          <w:lang w:val="fr-FR"/>
        </w:rPr>
        <w:t>’</w:t>
      </w:r>
      <w:r w:rsidRPr="00A87381">
        <w:rPr>
          <w:lang w:val="fr-FR"/>
        </w:rPr>
        <w:t xml:space="preserve">indemnisation </w:t>
      </w:r>
      <w:r>
        <w:rPr>
          <w:lang w:val="fr-FR"/>
        </w:rPr>
        <w:t>soit</w:t>
      </w:r>
      <w:r w:rsidRPr="00A87381">
        <w:rPr>
          <w:lang w:val="fr-FR"/>
        </w:rPr>
        <w:t xml:space="preserve"> calculé suivant les critères introduits par la loi n</w:t>
      </w:r>
      <w:r w:rsidRPr="00167018">
        <w:rPr>
          <w:vertAlign w:val="superscript"/>
          <w:lang w:val="fr-FR"/>
        </w:rPr>
        <w:t>o</w:t>
      </w:r>
      <w:r w:rsidRPr="00A87381">
        <w:rPr>
          <w:lang w:val="fr-FR"/>
        </w:rPr>
        <w:t> 359 de 1992.</w:t>
      </w:r>
      <w:r>
        <w:rPr>
          <w:lang w:val="fr-FR"/>
        </w:rPr>
        <w:t xml:space="preserve"> </w:t>
      </w:r>
      <w:r w:rsidRPr="00CF27D5">
        <w:rPr>
          <w:lang w:val="fr-FR"/>
        </w:rPr>
        <w:t xml:space="preserve">Elle faisait valoir en outre que </w:t>
      </w:r>
      <w:r>
        <w:rPr>
          <w:lang w:val="fr-FR"/>
        </w:rPr>
        <w:t>l</w:t>
      </w:r>
      <w:r w:rsidR="001F707F">
        <w:rPr>
          <w:lang w:val="fr-FR"/>
        </w:rPr>
        <w:t>’</w:t>
      </w:r>
      <w:r>
        <w:rPr>
          <w:lang w:val="fr-FR"/>
        </w:rPr>
        <w:t>installation électrique construite sur le terrain avait été entièrement enlevée</w:t>
      </w:r>
      <w:r w:rsidRPr="00CF27D5">
        <w:rPr>
          <w:lang w:val="fr-FR"/>
        </w:rPr>
        <w:t xml:space="preserve"> le 1</w:t>
      </w:r>
      <w:r w:rsidRPr="00CF27D5">
        <w:rPr>
          <w:vertAlign w:val="superscript"/>
          <w:lang w:val="fr-FR"/>
        </w:rPr>
        <w:t>er</w:t>
      </w:r>
      <w:r w:rsidRPr="00CF27D5">
        <w:rPr>
          <w:lang w:val="fr-FR"/>
        </w:rPr>
        <w:t>décembre 2004.</w:t>
      </w:r>
    </w:p>
    <w:p w:rsidR="007F063B" w:rsidRDefault="007F063B" w:rsidP="00E75ABC">
      <w:pPr>
        <w:pStyle w:val="ECHRPara"/>
        <w:rPr>
          <w:lang w:val="fr-FR"/>
        </w:rPr>
      </w:pPr>
      <w:r>
        <w:rPr>
          <w:lang w:val="fr-FR"/>
        </w:rPr>
        <w:t>11</w:t>
      </w:r>
      <w:r w:rsidRPr="00AF717D">
        <w:rPr>
          <w:lang w:val="fr-FR"/>
        </w:rPr>
        <w:t>.  Par un arrêt du 2 avril 2014, déposé au greffe le 10 avril 2014, la cour d</w:t>
      </w:r>
      <w:r w:rsidR="001F707F">
        <w:rPr>
          <w:lang w:val="fr-FR"/>
        </w:rPr>
        <w:t>’</w:t>
      </w:r>
      <w:r w:rsidRPr="00AF717D">
        <w:rPr>
          <w:lang w:val="fr-FR"/>
        </w:rPr>
        <w:t xml:space="preserve">appel observa que </w:t>
      </w:r>
      <w:r>
        <w:rPr>
          <w:lang w:val="fr-FR"/>
        </w:rPr>
        <w:t>l</w:t>
      </w:r>
      <w:r w:rsidR="001F707F">
        <w:rPr>
          <w:lang w:val="fr-FR"/>
        </w:rPr>
        <w:t>’</w:t>
      </w:r>
      <w:r>
        <w:rPr>
          <w:lang w:val="fr-FR"/>
        </w:rPr>
        <w:t>installation électrique avait été enlevée</w:t>
      </w:r>
      <w:r w:rsidRPr="00AF717D">
        <w:rPr>
          <w:lang w:val="fr-FR"/>
        </w:rPr>
        <w:t xml:space="preserve"> du terrain et que cette circonstance n</w:t>
      </w:r>
      <w:r w:rsidR="001F707F">
        <w:rPr>
          <w:lang w:val="fr-FR"/>
        </w:rPr>
        <w:t>’</w:t>
      </w:r>
      <w:r w:rsidRPr="00AF717D">
        <w:rPr>
          <w:lang w:val="fr-FR"/>
        </w:rPr>
        <w:t xml:space="preserve">avait pas été prise en </w:t>
      </w:r>
      <w:r>
        <w:rPr>
          <w:lang w:val="fr-FR"/>
        </w:rPr>
        <w:t>considération</w:t>
      </w:r>
      <w:r w:rsidRPr="00AF717D">
        <w:rPr>
          <w:lang w:val="fr-FR"/>
        </w:rPr>
        <w:t xml:space="preserve"> par le tribunal dans son </w:t>
      </w:r>
      <w:r w:rsidRPr="00393F65">
        <w:rPr>
          <w:lang w:val="fr-FR"/>
        </w:rPr>
        <w:t>jugement du 10 janvier 2006.</w:t>
      </w:r>
      <w:r w:rsidRPr="00AF717D">
        <w:rPr>
          <w:lang w:val="fr-FR"/>
        </w:rPr>
        <w:t xml:space="preserve"> Ensuite, elle estima que la requérante </w:t>
      </w:r>
      <w:r>
        <w:rPr>
          <w:lang w:val="fr-FR"/>
        </w:rPr>
        <w:t>n</w:t>
      </w:r>
      <w:r w:rsidR="001F707F">
        <w:rPr>
          <w:lang w:val="fr-FR"/>
        </w:rPr>
        <w:t>’</w:t>
      </w:r>
      <w:r>
        <w:rPr>
          <w:lang w:val="fr-FR"/>
        </w:rPr>
        <w:t>avait pas perdue la propriété de son terrain, mais qu</w:t>
      </w:r>
      <w:r w:rsidR="001F707F">
        <w:rPr>
          <w:lang w:val="fr-FR"/>
        </w:rPr>
        <w:t>’</w:t>
      </w:r>
      <w:r>
        <w:rPr>
          <w:lang w:val="fr-FR"/>
        </w:rPr>
        <w:t xml:space="preserve">elle avait subi une </w:t>
      </w:r>
      <w:r w:rsidRPr="00AF717D">
        <w:rPr>
          <w:lang w:val="fr-FR"/>
        </w:rPr>
        <w:t>limitation temporaire de son droit de propriété</w:t>
      </w:r>
      <w:r>
        <w:rPr>
          <w:lang w:val="fr-FR"/>
        </w:rPr>
        <w:t>, étant donné que le terrain était désormais dans sa pleine disponibilité. La cour remarqua, en outre, que</w:t>
      </w:r>
      <w:r w:rsidRPr="00AF717D">
        <w:rPr>
          <w:lang w:val="fr-FR"/>
        </w:rPr>
        <w:t xml:space="preserve"> le terrain avait été occupé </w:t>
      </w:r>
      <w:r w:rsidRPr="00AF717D">
        <w:rPr>
          <w:i/>
          <w:lang w:val="fr-FR"/>
        </w:rPr>
        <w:t>ab initio</w:t>
      </w:r>
      <w:r w:rsidRPr="00AF717D">
        <w:rPr>
          <w:lang w:val="fr-FR"/>
        </w:rPr>
        <w:t xml:space="preserve"> sa</w:t>
      </w:r>
      <w:r>
        <w:rPr>
          <w:lang w:val="fr-FR"/>
        </w:rPr>
        <w:t>n</w:t>
      </w:r>
      <w:r w:rsidRPr="00AF717D">
        <w:rPr>
          <w:lang w:val="fr-FR"/>
        </w:rPr>
        <w:t xml:space="preserve">s titre </w:t>
      </w:r>
      <w:r>
        <w:rPr>
          <w:lang w:val="fr-FR"/>
        </w:rPr>
        <w:t xml:space="preserve">et </w:t>
      </w:r>
      <w:r w:rsidRPr="00AF717D">
        <w:rPr>
          <w:lang w:val="fr-FR"/>
        </w:rPr>
        <w:t>jugea que</w:t>
      </w:r>
      <w:r>
        <w:rPr>
          <w:lang w:val="fr-FR"/>
        </w:rPr>
        <w:t xml:space="preserve"> </w:t>
      </w:r>
      <w:r w:rsidRPr="00AF717D">
        <w:rPr>
          <w:lang w:val="fr-FR"/>
        </w:rPr>
        <w:lastRenderedPageBreak/>
        <w:t>l</w:t>
      </w:r>
      <w:r w:rsidR="001F707F">
        <w:rPr>
          <w:lang w:val="fr-FR"/>
        </w:rPr>
        <w:t>’</w:t>
      </w:r>
      <w:r w:rsidRPr="00AF717D">
        <w:rPr>
          <w:lang w:val="fr-FR"/>
        </w:rPr>
        <w:t>occupation était illégitime</w:t>
      </w:r>
      <w:r>
        <w:rPr>
          <w:lang w:val="fr-FR"/>
        </w:rPr>
        <w:t xml:space="preserve">. Par conséquent, selon elle la requérante avait droit à un dédommagement qui ne devait pas être calculé sur la base </w:t>
      </w:r>
      <w:r w:rsidRPr="00AB4218">
        <w:rPr>
          <w:lang w:val="fr-FR"/>
        </w:rPr>
        <w:t>de la loi n</w:t>
      </w:r>
      <w:r w:rsidRPr="00167018">
        <w:rPr>
          <w:vertAlign w:val="superscript"/>
          <w:lang w:val="fr-FR"/>
        </w:rPr>
        <w:t>o</w:t>
      </w:r>
      <w:r w:rsidRPr="00AB4218">
        <w:rPr>
          <w:lang w:val="fr-FR"/>
        </w:rPr>
        <w:t> 359 de 1992.</w:t>
      </w:r>
      <w:r>
        <w:rPr>
          <w:lang w:val="fr-FR"/>
        </w:rPr>
        <w:t xml:space="preserve"> En se basant sur la valeur vénale du terrain, l</w:t>
      </w:r>
      <w:r w:rsidRPr="002D51F1">
        <w:rPr>
          <w:lang w:val="fr-FR"/>
        </w:rPr>
        <w:t>a cour d</w:t>
      </w:r>
      <w:r w:rsidR="001F707F">
        <w:rPr>
          <w:lang w:val="fr-FR"/>
        </w:rPr>
        <w:t>’</w:t>
      </w:r>
      <w:r w:rsidRPr="002D51F1">
        <w:rPr>
          <w:lang w:val="fr-FR"/>
        </w:rPr>
        <w:t xml:space="preserve">appel </w:t>
      </w:r>
      <w:r w:rsidRPr="00AF717D">
        <w:rPr>
          <w:lang w:val="fr-FR"/>
        </w:rPr>
        <w:t xml:space="preserve">accorda à la requérante une somme de </w:t>
      </w:r>
      <w:r>
        <w:rPr>
          <w:lang w:val="fr-FR"/>
        </w:rPr>
        <w:t>2 516,</w:t>
      </w:r>
      <w:r w:rsidRPr="00AF717D">
        <w:rPr>
          <w:lang w:val="fr-FR"/>
        </w:rPr>
        <w:t>39 EUR</w:t>
      </w:r>
      <w:r w:rsidRPr="00C24C6B">
        <w:rPr>
          <w:lang w:val="fr-FR"/>
        </w:rPr>
        <w:t xml:space="preserve"> à titre de dédommagement pour l</w:t>
      </w:r>
      <w:r w:rsidR="001F707F">
        <w:rPr>
          <w:lang w:val="fr-FR"/>
        </w:rPr>
        <w:t>’</w:t>
      </w:r>
      <w:r w:rsidRPr="00C24C6B">
        <w:rPr>
          <w:lang w:val="fr-FR"/>
        </w:rPr>
        <w:t>occupation temporaire du terrain</w:t>
      </w:r>
      <w:r>
        <w:rPr>
          <w:lang w:val="fr-FR"/>
        </w:rPr>
        <w:t xml:space="preserve">. Cette somme devait être </w:t>
      </w:r>
      <w:r w:rsidRPr="00AF717D">
        <w:rPr>
          <w:lang w:val="fr-FR"/>
        </w:rPr>
        <w:t>réévalu</w:t>
      </w:r>
      <w:r>
        <w:rPr>
          <w:lang w:val="fr-FR"/>
        </w:rPr>
        <w:t>ée</w:t>
      </w:r>
      <w:r w:rsidRPr="00AF717D">
        <w:rPr>
          <w:lang w:val="fr-FR"/>
        </w:rPr>
        <w:t xml:space="preserve"> et </w:t>
      </w:r>
      <w:r>
        <w:rPr>
          <w:lang w:val="fr-FR"/>
        </w:rPr>
        <w:t>majorée d</w:t>
      </w:r>
      <w:r w:rsidR="001F707F">
        <w:rPr>
          <w:lang w:val="fr-FR"/>
        </w:rPr>
        <w:t>’</w:t>
      </w:r>
      <w:r w:rsidRPr="00AF717D">
        <w:rPr>
          <w:lang w:val="fr-FR"/>
        </w:rPr>
        <w:t>intérêts.</w:t>
      </w:r>
    </w:p>
    <w:p w:rsidR="007F063B" w:rsidRPr="004D0EF2" w:rsidRDefault="007F063B" w:rsidP="00E75ABC">
      <w:pPr>
        <w:pStyle w:val="ECHRHeading3"/>
        <w:rPr>
          <w:lang w:val="fr-FR"/>
        </w:rPr>
      </w:pPr>
      <w:r>
        <w:rPr>
          <w:lang w:val="fr-FR"/>
        </w:rPr>
        <w:t>2.  La procédure « </w:t>
      </w:r>
      <w:r w:rsidRPr="004D0EF2">
        <w:rPr>
          <w:lang w:val="fr-FR"/>
        </w:rPr>
        <w:t>Pinto »</w:t>
      </w:r>
    </w:p>
    <w:p w:rsidR="007F063B" w:rsidRPr="00D93B2F" w:rsidRDefault="007F063B" w:rsidP="00E75ABC">
      <w:pPr>
        <w:pStyle w:val="ECHRPara"/>
        <w:rPr>
          <w:lang w:val="fr-FR"/>
        </w:rPr>
      </w:pPr>
      <w:r>
        <w:rPr>
          <w:lang w:val="fr-FR"/>
        </w:rPr>
        <w:t>12</w:t>
      </w:r>
      <w:r w:rsidRPr="00D93B2F">
        <w:rPr>
          <w:lang w:val="fr-FR"/>
        </w:rPr>
        <w:t>.  Le 15 avril 2002, la requérante introduisit un recours « Pinto » devant la cour d</w:t>
      </w:r>
      <w:r w:rsidR="001F707F">
        <w:rPr>
          <w:lang w:val="fr-FR"/>
        </w:rPr>
        <w:t>’</w:t>
      </w:r>
      <w:r w:rsidRPr="00D93B2F">
        <w:rPr>
          <w:lang w:val="fr-FR"/>
        </w:rPr>
        <w:t>appel de Rome afin d</w:t>
      </w:r>
      <w:r w:rsidR="001F707F">
        <w:rPr>
          <w:lang w:val="fr-FR"/>
        </w:rPr>
        <w:t>’</w:t>
      </w:r>
      <w:r w:rsidRPr="00D93B2F">
        <w:rPr>
          <w:lang w:val="fr-FR"/>
        </w:rPr>
        <w:t>être indemnisée pour l</w:t>
      </w:r>
      <w:r w:rsidR="001F707F">
        <w:rPr>
          <w:lang w:val="fr-FR"/>
        </w:rPr>
        <w:t>’</w:t>
      </w:r>
      <w:r w:rsidRPr="00D93B2F">
        <w:rPr>
          <w:lang w:val="fr-FR"/>
        </w:rPr>
        <w:t>excessive durée de la procédure entamée par son père devant le tribunal de Bénévent.</w:t>
      </w:r>
    </w:p>
    <w:p w:rsidR="007F063B" w:rsidRPr="00D93B2F" w:rsidRDefault="007F063B" w:rsidP="00E75ABC">
      <w:pPr>
        <w:pStyle w:val="ECHRPara"/>
        <w:rPr>
          <w:lang w:val="fr-FR"/>
        </w:rPr>
      </w:pPr>
      <w:r>
        <w:rPr>
          <w:lang w:val="fr-FR"/>
        </w:rPr>
        <w:t>13</w:t>
      </w:r>
      <w:r w:rsidRPr="00D93B2F">
        <w:rPr>
          <w:lang w:val="fr-FR"/>
        </w:rPr>
        <w:t>.  Par un décret du 24 septembre 2003, la cour d</w:t>
      </w:r>
      <w:r w:rsidR="001F707F">
        <w:rPr>
          <w:lang w:val="fr-FR"/>
        </w:rPr>
        <w:t>’</w:t>
      </w:r>
      <w:r w:rsidRPr="00D93B2F">
        <w:rPr>
          <w:lang w:val="fr-FR"/>
        </w:rPr>
        <w:t>appel rejeta le recours affirmant que la requérante n</w:t>
      </w:r>
      <w:r w:rsidR="001F707F">
        <w:rPr>
          <w:lang w:val="fr-FR"/>
        </w:rPr>
        <w:t>’</w:t>
      </w:r>
      <w:r w:rsidRPr="00D93B2F">
        <w:rPr>
          <w:lang w:val="fr-FR"/>
        </w:rPr>
        <w:t>avait pas la qualité de victime, car elle ne s</w:t>
      </w:r>
      <w:r w:rsidR="001F707F">
        <w:rPr>
          <w:lang w:val="fr-FR"/>
        </w:rPr>
        <w:t>’</w:t>
      </w:r>
      <w:r w:rsidRPr="00D93B2F">
        <w:rPr>
          <w:lang w:val="fr-FR"/>
        </w:rPr>
        <w:t>était pas constituée dans la procédure.</w:t>
      </w:r>
    </w:p>
    <w:p w:rsidR="007F063B" w:rsidRPr="00D93B2F" w:rsidRDefault="007F063B" w:rsidP="00E75ABC">
      <w:pPr>
        <w:pStyle w:val="ECHRPara"/>
        <w:rPr>
          <w:lang w:val="fr-FR"/>
        </w:rPr>
      </w:pPr>
      <w:r>
        <w:rPr>
          <w:lang w:val="fr-FR"/>
        </w:rPr>
        <w:t>14</w:t>
      </w:r>
      <w:r w:rsidRPr="00D93B2F">
        <w:rPr>
          <w:lang w:val="fr-FR"/>
        </w:rPr>
        <w:t>.  Le 27 octobre 2003, la requérante introduisit un recours en révision alléguant que la cour d</w:t>
      </w:r>
      <w:r w:rsidR="001F707F">
        <w:rPr>
          <w:lang w:val="fr-FR"/>
        </w:rPr>
        <w:t>’</w:t>
      </w:r>
      <w:r w:rsidRPr="00D93B2F">
        <w:rPr>
          <w:lang w:val="fr-FR"/>
        </w:rPr>
        <w:t>appel avait commis une erreur matériel</w:t>
      </w:r>
      <w:r>
        <w:rPr>
          <w:lang w:val="fr-FR"/>
        </w:rPr>
        <w:t>le</w:t>
      </w:r>
      <w:r w:rsidRPr="00D93B2F">
        <w:rPr>
          <w:lang w:val="fr-FR"/>
        </w:rPr>
        <w:t xml:space="preserve"> en considérant qu</w:t>
      </w:r>
      <w:r w:rsidR="001F707F">
        <w:rPr>
          <w:lang w:val="fr-FR"/>
        </w:rPr>
        <w:t>’</w:t>
      </w:r>
      <w:r w:rsidRPr="00D93B2F">
        <w:rPr>
          <w:lang w:val="fr-FR"/>
        </w:rPr>
        <w:t>elle ne s</w:t>
      </w:r>
      <w:r w:rsidR="001F707F">
        <w:rPr>
          <w:lang w:val="fr-FR"/>
        </w:rPr>
        <w:t>’</w:t>
      </w:r>
      <w:r w:rsidRPr="00D93B2F">
        <w:rPr>
          <w:lang w:val="fr-FR"/>
        </w:rPr>
        <w:t>était pas constituée dans la procédure.</w:t>
      </w:r>
    </w:p>
    <w:p w:rsidR="007F063B" w:rsidRPr="00D93B2F" w:rsidRDefault="007F063B" w:rsidP="00E75ABC">
      <w:pPr>
        <w:pStyle w:val="ECHRPara"/>
        <w:rPr>
          <w:lang w:val="fr-FR"/>
        </w:rPr>
      </w:pPr>
      <w:r>
        <w:rPr>
          <w:lang w:val="fr-FR"/>
        </w:rPr>
        <w:t>15</w:t>
      </w:r>
      <w:r w:rsidRPr="00D93B2F">
        <w:rPr>
          <w:lang w:val="fr-FR"/>
        </w:rPr>
        <w:t>.  Par un décret déposé au greffe le 1</w:t>
      </w:r>
      <w:r w:rsidRPr="00D93B2F">
        <w:rPr>
          <w:vertAlign w:val="superscript"/>
          <w:lang w:val="fr-FR"/>
        </w:rPr>
        <w:t>er</w:t>
      </w:r>
      <w:r w:rsidRPr="00D93B2F">
        <w:rPr>
          <w:lang w:val="fr-FR"/>
        </w:rPr>
        <w:t xml:space="preserve"> septembre 2004, la cour d</w:t>
      </w:r>
      <w:r w:rsidR="001F707F">
        <w:rPr>
          <w:lang w:val="fr-FR"/>
        </w:rPr>
        <w:t>’</w:t>
      </w:r>
      <w:r w:rsidRPr="00D93B2F">
        <w:rPr>
          <w:lang w:val="fr-FR"/>
        </w:rPr>
        <w:t>appel rejeta le recours de la requérante. Après avoir affirmé la recevabilité du recours en révision pour erreur de fait, la cour d</w:t>
      </w:r>
      <w:r w:rsidR="001F707F">
        <w:rPr>
          <w:lang w:val="fr-FR"/>
        </w:rPr>
        <w:t>’</w:t>
      </w:r>
      <w:r w:rsidRPr="00D93B2F">
        <w:rPr>
          <w:lang w:val="fr-FR"/>
        </w:rPr>
        <w:t>appel releva en se prononçant sur le fond du recours que la requérante ne s</w:t>
      </w:r>
      <w:r w:rsidR="001F707F">
        <w:rPr>
          <w:lang w:val="fr-FR"/>
        </w:rPr>
        <w:t>’</w:t>
      </w:r>
      <w:r w:rsidRPr="00D93B2F">
        <w:rPr>
          <w:lang w:val="fr-FR"/>
        </w:rPr>
        <w:t>était constituée dans la procédure devant le tribunal de Bénévent que quatre ans et cinq mois après le décès de son père, ce qui dénotait un manque d</w:t>
      </w:r>
      <w:r w:rsidR="001F707F">
        <w:rPr>
          <w:lang w:val="fr-FR"/>
        </w:rPr>
        <w:t>’</w:t>
      </w:r>
      <w:r w:rsidRPr="00D93B2F">
        <w:rPr>
          <w:lang w:val="fr-FR"/>
        </w:rPr>
        <w:t>intérêt prolongé de sa part par rapport au procès. En outre, la requérante n</w:t>
      </w:r>
      <w:r w:rsidR="001F707F">
        <w:rPr>
          <w:lang w:val="fr-FR"/>
        </w:rPr>
        <w:t>’</w:t>
      </w:r>
      <w:r w:rsidRPr="00D93B2F">
        <w:rPr>
          <w:lang w:val="fr-FR"/>
        </w:rPr>
        <w:t>avait pas fourni la preuve des dommages découlant de l</w:t>
      </w:r>
      <w:r w:rsidR="001F707F">
        <w:rPr>
          <w:lang w:val="fr-FR"/>
        </w:rPr>
        <w:t>’</w:t>
      </w:r>
      <w:r w:rsidRPr="00D93B2F">
        <w:rPr>
          <w:lang w:val="fr-FR"/>
        </w:rPr>
        <w:t>excessive durée du procès.</w:t>
      </w:r>
    </w:p>
    <w:p w:rsidR="007F063B" w:rsidRPr="00440462" w:rsidRDefault="007F063B" w:rsidP="00E75ABC">
      <w:pPr>
        <w:pStyle w:val="ECHRPara"/>
        <w:rPr>
          <w:lang w:val="fr-FR"/>
        </w:rPr>
      </w:pPr>
      <w:r>
        <w:rPr>
          <w:lang w:val="fr-FR"/>
        </w:rPr>
        <w:t>16</w:t>
      </w:r>
      <w:r w:rsidRPr="00D93B2F">
        <w:rPr>
          <w:lang w:val="fr-FR"/>
        </w:rPr>
        <w:t>.  La requérante ne s</w:t>
      </w:r>
      <w:r w:rsidR="001F707F">
        <w:rPr>
          <w:lang w:val="fr-FR"/>
        </w:rPr>
        <w:t>’</w:t>
      </w:r>
      <w:r>
        <w:rPr>
          <w:lang w:val="fr-FR"/>
        </w:rPr>
        <w:t>est pas pourvu en cassation</w:t>
      </w:r>
      <w:r w:rsidRPr="00440462">
        <w:rPr>
          <w:lang w:val="fr-FR"/>
        </w:rPr>
        <w:t>.</w:t>
      </w:r>
    </w:p>
    <w:p w:rsidR="007F063B" w:rsidRPr="004D0EF2" w:rsidRDefault="007F063B" w:rsidP="00E75ABC">
      <w:pPr>
        <w:pStyle w:val="ECHRTitle1"/>
        <w:rPr>
          <w:lang w:val="fr-FR"/>
        </w:rPr>
      </w:pPr>
      <w:r w:rsidRPr="004D0EF2">
        <w:rPr>
          <w:lang w:val="fr-FR"/>
        </w:rPr>
        <w:t>GRIEFS</w:t>
      </w:r>
    </w:p>
    <w:p w:rsidR="007F063B" w:rsidRPr="000A6410" w:rsidRDefault="007F063B" w:rsidP="00E75ABC">
      <w:pPr>
        <w:pStyle w:val="ECHRPara"/>
        <w:rPr>
          <w:lang w:val="fr-FR"/>
        </w:rPr>
      </w:pPr>
      <w:r>
        <w:rPr>
          <w:lang w:val="fr-FR"/>
        </w:rPr>
        <w:t>17</w:t>
      </w:r>
      <w:r w:rsidRPr="000A6410">
        <w:rPr>
          <w:lang w:val="fr-FR"/>
        </w:rPr>
        <w:t>.  Invoquant l</w:t>
      </w:r>
      <w:r w:rsidR="001F707F">
        <w:rPr>
          <w:lang w:val="fr-FR"/>
        </w:rPr>
        <w:t>’</w:t>
      </w:r>
      <w:r w:rsidRPr="000A6410">
        <w:rPr>
          <w:lang w:val="fr-FR"/>
        </w:rPr>
        <w:t>article 1 du Protocole n</w:t>
      </w:r>
      <w:r w:rsidRPr="000A6410">
        <w:rPr>
          <w:vertAlign w:val="superscript"/>
          <w:lang w:val="fr-FR"/>
        </w:rPr>
        <w:t>o</w:t>
      </w:r>
      <w:r w:rsidRPr="000A6410">
        <w:rPr>
          <w:lang w:val="fr-FR"/>
        </w:rPr>
        <w:t xml:space="preserve"> 1, la requérante se plaignait d</w:t>
      </w:r>
      <w:r w:rsidR="001F707F">
        <w:rPr>
          <w:lang w:val="fr-FR"/>
        </w:rPr>
        <w:t>’</w:t>
      </w:r>
      <w:r w:rsidRPr="000A6410">
        <w:rPr>
          <w:lang w:val="fr-FR"/>
        </w:rPr>
        <w:t>avoir été privée de son terrain de manière incompatible avec son droit au respect de ses biens et de l</w:t>
      </w:r>
      <w:r w:rsidR="001F707F">
        <w:rPr>
          <w:lang w:val="fr-FR"/>
        </w:rPr>
        <w:t>’</w:t>
      </w:r>
      <w:r w:rsidRPr="000A6410">
        <w:rPr>
          <w:lang w:val="fr-FR"/>
        </w:rPr>
        <w:t>application à sa cause de la loi n</w:t>
      </w:r>
      <w:r w:rsidRPr="000A6410">
        <w:rPr>
          <w:vertAlign w:val="superscript"/>
          <w:lang w:val="fr-FR"/>
        </w:rPr>
        <w:t>o</w:t>
      </w:r>
      <w:r w:rsidRPr="000A6410">
        <w:rPr>
          <w:lang w:val="fr-FR"/>
        </w:rPr>
        <w:t xml:space="preserve"> 359 de 1992.</w:t>
      </w:r>
    </w:p>
    <w:p w:rsidR="007F063B" w:rsidRDefault="007F063B" w:rsidP="00E75ABC">
      <w:pPr>
        <w:pStyle w:val="ECHRPara"/>
        <w:rPr>
          <w:lang w:val="fr-FR"/>
        </w:rPr>
      </w:pPr>
      <w:r>
        <w:rPr>
          <w:lang w:val="fr-FR"/>
        </w:rPr>
        <w:t>18</w:t>
      </w:r>
      <w:r w:rsidRPr="000A6410">
        <w:rPr>
          <w:lang w:val="fr-FR"/>
        </w:rPr>
        <w:t>.  Invoquant l</w:t>
      </w:r>
      <w:r w:rsidR="001F707F">
        <w:rPr>
          <w:lang w:val="fr-FR"/>
        </w:rPr>
        <w:t>’</w:t>
      </w:r>
      <w:r w:rsidRPr="000A6410">
        <w:rPr>
          <w:lang w:val="fr-FR"/>
        </w:rPr>
        <w:t>article 6 § 1 de la Convention, elle se plaint également de l</w:t>
      </w:r>
      <w:r w:rsidR="001F707F">
        <w:rPr>
          <w:lang w:val="fr-FR"/>
        </w:rPr>
        <w:t>’</w:t>
      </w:r>
      <w:r w:rsidRPr="000A6410">
        <w:rPr>
          <w:lang w:val="fr-FR"/>
        </w:rPr>
        <w:t>excessive durée de la procédure.</w:t>
      </w:r>
    </w:p>
    <w:p w:rsidR="007F063B" w:rsidRDefault="007F063B" w:rsidP="00E75ABC">
      <w:pPr>
        <w:pStyle w:val="ECHRTitle1"/>
        <w:rPr>
          <w:lang w:val="fr-FR"/>
        </w:rPr>
      </w:pPr>
      <w:r w:rsidRPr="00121F33">
        <w:rPr>
          <w:lang w:val="fr-FR"/>
        </w:rPr>
        <w:lastRenderedPageBreak/>
        <w:t>EN DROIT</w:t>
      </w:r>
    </w:p>
    <w:p w:rsidR="007F063B" w:rsidRPr="00121F33" w:rsidRDefault="007F063B" w:rsidP="00E75ABC">
      <w:pPr>
        <w:pStyle w:val="ECHRHeading2"/>
        <w:rPr>
          <w:lang w:val="fr-FR"/>
        </w:rPr>
      </w:pPr>
      <w:r w:rsidRPr="00121F33">
        <w:rPr>
          <w:lang w:val="fr-FR"/>
        </w:rPr>
        <w:t>A.  Grief tiré de l</w:t>
      </w:r>
      <w:r w:rsidR="001F707F">
        <w:rPr>
          <w:lang w:val="fr-FR"/>
        </w:rPr>
        <w:t>’</w:t>
      </w:r>
      <w:r w:rsidRPr="00121F33">
        <w:rPr>
          <w:lang w:val="fr-FR"/>
        </w:rPr>
        <w:t>article 1 du Protocole n</w:t>
      </w:r>
      <w:r w:rsidR="001D09D1" w:rsidRPr="001D09D1">
        <w:rPr>
          <w:vertAlign w:val="superscript"/>
          <w:lang w:val="fr-FR"/>
        </w:rPr>
        <w:t>o</w:t>
      </w:r>
      <w:r w:rsidRPr="00121F33">
        <w:rPr>
          <w:lang w:val="fr-FR"/>
        </w:rPr>
        <w:t xml:space="preserve"> 1 à la Convention</w:t>
      </w:r>
    </w:p>
    <w:p w:rsidR="007F063B" w:rsidRPr="00121F33" w:rsidRDefault="007F063B" w:rsidP="00E75ABC">
      <w:pPr>
        <w:pStyle w:val="ECHRPara"/>
        <w:rPr>
          <w:lang w:val="fr-FR"/>
        </w:rPr>
      </w:pPr>
      <w:r>
        <w:rPr>
          <w:lang w:val="fr-FR"/>
        </w:rPr>
        <w:t>19</w:t>
      </w:r>
      <w:r w:rsidRPr="00121F33">
        <w:rPr>
          <w:lang w:val="fr-FR"/>
        </w:rPr>
        <w:t>.  La requérante allègue qu</w:t>
      </w:r>
      <w:r w:rsidR="001F707F">
        <w:rPr>
          <w:lang w:val="fr-FR"/>
        </w:rPr>
        <w:t>’</w:t>
      </w:r>
      <w:r w:rsidRPr="00121F33">
        <w:rPr>
          <w:lang w:val="fr-FR"/>
        </w:rPr>
        <w:t>elle a été privée de son terrain de manière incompatible avec l</w:t>
      </w:r>
      <w:r w:rsidR="001F707F">
        <w:rPr>
          <w:lang w:val="fr-FR"/>
        </w:rPr>
        <w:t>’</w:t>
      </w:r>
      <w:r w:rsidRPr="00121F33">
        <w:rPr>
          <w:lang w:val="fr-FR"/>
        </w:rPr>
        <w:t>article 1 du Protocole n</w:t>
      </w:r>
      <w:r w:rsidRPr="00121F33">
        <w:rPr>
          <w:vertAlign w:val="superscript"/>
          <w:lang w:val="fr-FR"/>
        </w:rPr>
        <w:t>o</w:t>
      </w:r>
      <w:r w:rsidRPr="00121F33">
        <w:rPr>
          <w:lang w:val="fr-FR"/>
        </w:rPr>
        <w:t xml:space="preserve"> 1 à la Convention, ainsi libellé:</w:t>
      </w:r>
    </w:p>
    <w:p w:rsidR="007F063B" w:rsidRPr="00121F33" w:rsidRDefault="007F063B" w:rsidP="00E75ABC">
      <w:pPr>
        <w:pStyle w:val="ECHRParaQuote"/>
        <w:rPr>
          <w:lang w:val="fr-FR"/>
        </w:rPr>
      </w:pPr>
      <w:r w:rsidRPr="00121F33">
        <w:rPr>
          <w:lang w:val="fr-FR"/>
        </w:rPr>
        <w:t>« Toute personne physique ou morale a droit au respect de ses biens. Nul ne peut être privé de sa propriété que pour cause d</w:t>
      </w:r>
      <w:r w:rsidR="001F707F">
        <w:rPr>
          <w:lang w:val="fr-FR"/>
        </w:rPr>
        <w:t>’</w:t>
      </w:r>
      <w:r w:rsidRPr="00121F33">
        <w:rPr>
          <w:lang w:val="fr-FR"/>
        </w:rPr>
        <w:t>utilité publique et dans les conditions prévues par la loi et les principes généraux du droit international.</w:t>
      </w:r>
    </w:p>
    <w:p w:rsidR="007F063B" w:rsidRDefault="007F063B" w:rsidP="00E75ABC">
      <w:pPr>
        <w:pStyle w:val="ECHRParaQuote"/>
        <w:rPr>
          <w:lang w:val="fr-FR"/>
        </w:rPr>
      </w:pPr>
      <w:r w:rsidRPr="00121F33">
        <w:rPr>
          <w:lang w:val="fr-FR"/>
        </w:rPr>
        <w:t>Les dispositions précédentes ne portent pas atteinte au droit que possèdent les Etats de mettre en vigueur les lois qu</w:t>
      </w:r>
      <w:r w:rsidR="001F707F">
        <w:rPr>
          <w:lang w:val="fr-FR"/>
        </w:rPr>
        <w:t>’</w:t>
      </w:r>
      <w:r w:rsidRPr="00121F33">
        <w:rPr>
          <w:lang w:val="fr-FR"/>
        </w:rPr>
        <w:t>ils jugent nécessaires pour réglementer l</w:t>
      </w:r>
      <w:r w:rsidR="001F707F">
        <w:rPr>
          <w:lang w:val="fr-FR"/>
        </w:rPr>
        <w:t>’</w:t>
      </w:r>
      <w:r w:rsidRPr="00121F33">
        <w:rPr>
          <w:lang w:val="fr-FR"/>
        </w:rPr>
        <w:t>usage des biens conformément à l</w:t>
      </w:r>
      <w:r w:rsidR="001F707F">
        <w:rPr>
          <w:lang w:val="fr-FR"/>
        </w:rPr>
        <w:t>’</w:t>
      </w:r>
      <w:r w:rsidRPr="00121F33">
        <w:rPr>
          <w:lang w:val="fr-FR"/>
        </w:rPr>
        <w:t>intérêt général ou pour assurer le paiement des impôts ou d</w:t>
      </w:r>
      <w:r w:rsidR="001F707F">
        <w:rPr>
          <w:lang w:val="fr-FR"/>
        </w:rPr>
        <w:t>’</w:t>
      </w:r>
      <w:r w:rsidRPr="00121F33">
        <w:rPr>
          <w:lang w:val="fr-FR"/>
        </w:rPr>
        <w:t>autres contributions ou des amendes. »</w:t>
      </w:r>
    </w:p>
    <w:p w:rsidR="007F063B" w:rsidRPr="00121F33" w:rsidRDefault="007F063B" w:rsidP="00E75ABC">
      <w:pPr>
        <w:pStyle w:val="ECHRPara"/>
        <w:rPr>
          <w:lang w:val="fr-FR"/>
        </w:rPr>
      </w:pPr>
      <w:r>
        <w:rPr>
          <w:lang w:val="fr-FR"/>
        </w:rPr>
        <w:t>20</w:t>
      </w:r>
      <w:r w:rsidRPr="00121F33">
        <w:rPr>
          <w:lang w:val="fr-FR"/>
        </w:rPr>
        <w:t>.  Le Gouvernement s</w:t>
      </w:r>
      <w:r w:rsidR="001F707F">
        <w:rPr>
          <w:lang w:val="fr-FR"/>
        </w:rPr>
        <w:t>’</w:t>
      </w:r>
      <w:r w:rsidRPr="00121F33">
        <w:rPr>
          <w:lang w:val="fr-FR"/>
        </w:rPr>
        <w:t>oppose à cette thèse.</w:t>
      </w:r>
    </w:p>
    <w:p w:rsidR="007F063B" w:rsidRPr="00121F33" w:rsidRDefault="007F063B" w:rsidP="00E75ABC">
      <w:pPr>
        <w:pStyle w:val="ECHRPara"/>
        <w:rPr>
          <w:lang w:val="fr-FR"/>
        </w:rPr>
      </w:pPr>
      <w:r>
        <w:rPr>
          <w:lang w:val="fr-FR"/>
        </w:rPr>
        <w:t>21</w:t>
      </w:r>
      <w:r w:rsidRPr="00121F33">
        <w:rPr>
          <w:lang w:val="fr-FR"/>
        </w:rPr>
        <w:t>.  Par une lettre du 18 avril 2014, le représentant de la requérante informa la Cour de ce que la procédure devant la cour d</w:t>
      </w:r>
      <w:r w:rsidR="001F707F">
        <w:rPr>
          <w:lang w:val="fr-FR"/>
        </w:rPr>
        <w:t>’</w:t>
      </w:r>
      <w:r w:rsidRPr="00121F33">
        <w:rPr>
          <w:lang w:val="fr-FR"/>
        </w:rPr>
        <w:t>appel de Naples, qui était pendante au moment de l</w:t>
      </w:r>
      <w:r w:rsidR="001F707F">
        <w:rPr>
          <w:lang w:val="fr-FR"/>
        </w:rPr>
        <w:t>’</w:t>
      </w:r>
      <w:r w:rsidRPr="00121F33">
        <w:rPr>
          <w:lang w:val="fr-FR"/>
        </w:rPr>
        <w:t>introduction de la requête devant la Cour et de la communication de la requête au Gouvernement défendeur, était terminée. La cour d</w:t>
      </w:r>
      <w:r w:rsidR="001F707F">
        <w:rPr>
          <w:lang w:val="fr-FR"/>
        </w:rPr>
        <w:t>’</w:t>
      </w:r>
      <w:r w:rsidRPr="00121F33">
        <w:rPr>
          <w:lang w:val="fr-FR"/>
        </w:rPr>
        <w:t>appel constata que l</w:t>
      </w:r>
      <w:r w:rsidR="001F707F">
        <w:rPr>
          <w:lang w:val="fr-FR"/>
        </w:rPr>
        <w:t>’</w:t>
      </w:r>
      <w:r w:rsidRPr="00121F33">
        <w:rPr>
          <w:lang w:val="fr-FR"/>
        </w:rPr>
        <w:t>installation électrique avait été enlevée du terrain de la requérant et octroya un dédommagement pour l</w:t>
      </w:r>
      <w:r w:rsidR="001F707F">
        <w:rPr>
          <w:lang w:val="fr-FR"/>
        </w:rPr>
        <w:t>’</w:t>
      </w:r>
      <w:r w:rsidRPr="00121F33">
        <w:rPr>
          <w:lang w:val="fr-FR"/>
        </w:rPr>
        <w:t>occupation illégitime du terrain (paragraphe 11 ci-dessus)</w:t>
      </w:r>
      <w:r>
        <w:rPr>
          <w:lang w:val="fr-FR"/>
        </w:rPr>
        <w:t>.</w:t>
      </w:r>
    </w:p>
    <w:p w:rsidR="007F063B" w:rsidRPr="00121F33" w:rsidRDefault="007F063B" w:rsidP="00E75ABC">
      <w:pPr>
        <w:pStyle w:val="ECHRPara"/>
        <w:rPr>
          <w:lang w:val="fr-FR"/>
        </w:rPr>
      </w:pPr>
      <w:r>
        <w:rPr>
          <w:lang w:val="fr-FR"/>
        </w:rPr>
        <w:t>22</w:t>
      </w:r>
      <w:r w:rsidRPr="00121F33">
        <w:rPr>
          <w:lang w:val="fr-FR"/>
        </w:rPr>
        <w:t>.  Compte tenu de cette circonstance, la Cour estime nécessaire de se pencher sur la question de la qualité de victime de la requérante. Elle rappelle qu</w:t>
      </w:r>
      <w:r w:rsidR="001F707F">
        <w:rPr>
          <w:lang w:val="fr-FR"/>
        </w:rPr>
        <w:t>’</w:t>
      </w:r>
      <w:r w:rsidRPr="00121F33">
        <w:rPr>
          <w:lang w:val="fr-FR"/>
        </w:rPr>
        <w:t xml:space="preserve">il appartient en premier lieu aux autorités nationales de redresser une violation alléguée de la Convention. À cet égard, la question de savoir si un requérant peut se prétendre victime du manquement allégué se pose à tous les stades de la procédure au regard de la Convention et implique essentiellement pour la Cour de se livrer à un examen </w:t>
      </w:r>
      <w:r w:rsidRPr="00121F33">
        <w:rPr>
          <w:i/>
          <w:lang w:val="fr-FR"/>
        </w:rPr>
        <w:t>ex post facto</w:t>
      </w:r>
      <w:r w:rsidRPr="00121F33">
        <w:rPr>
          <w:lang w:val="fr-FR"/>
        </w:rPr>
        <w:t xml:space="preserve"> de la situation de la personne concernée (</w:t>
      </w:r>
      <w:r w:rsidRPr="00121F33">
        <w:rPr>
          <w:i/>
          <w:lang w:val="fr-FR"/>
        </w:rPr>
        <w:t>Cocchiarella c. Italie</w:t>
      </w:r>
      <w:r w:rsidRPr="00121F33">
        <w:rPr>
          <w:lang w:val="fr-FR"/>
        </w:rPr>
        <w:t xml:space="preserve"> [GC], n</w:t>
      </w:r>
      <w:r w:rsidRPr="00121F33">
        <w:rPr>
          <w:vertAlign w:val="superscript"/>
          <w:lang w:val="fr-FR"/>
        </w:rPr>
        <w:t>o </w:t>
      </w:r>
      <w:r w:rsidRPr="00121F33">
        <w:rPr>
          <w:lang w:val="fr-FR"/>
        </w:rPr>
        <w:t>64886/01, §§ 70-72, CEDH 2006</w:t>
      </w:r>
      <w:r w:rsidRPr="00121F33">
        <w:rPr>
          <w:lang w:val="fr-FR"/>
        </w:rPr>
        <w:noBreakHyphen/>
        <w:t>V).</w:t>
      </w:r>
    </w:p>
    <w:p w:rsidR="007F063B" w:rsidRPr="00121F33" w:rsidRDefault="007F063B" w:rsidP="00E75ABC">
      <w:pPr>
        <w:pStyle w:val="ECHRPara"/>
        <w:rPr>
          <w:lang w:val="fr-FR"/>
        </w:rPr>
      </w:pPr>
      <w:r>
        <w:rPr>
          <w:lang w:val="fr-FR"/>
        </w:rPr>
        <w:t>23</w:t>
      </w:r>
      <w:r w:rsidRPr="00121F33">
        <w:rPr>
          <w:lang w:val="fr-FR"/>
        </w:rPr>
        <w:t>.  La Cour réaffirme qu</w:t>
      </w:r>
      <w:r w:rsidR="001F707F">
        <w:rPr>
          <w:lang w:val="fr-FR"/>
        </w:rPr>
        <w:t>’</w:t>
      </w:r>
      <w:r w:rsidRPr="00121F33">
        <w:rPr>
          <w:lang w:val="fr-FR"/>
        </w:rPr>
        <w:t>il lui appartient de vérifier s</w:t>
      </w:r>
      <w:r w:rsidR="001F707F">
        <w:rPr>
          <w:lang w:val="fr-FR"/>
        </w:rPr>
        <w:t>’</w:t>
      </w:r>
      <w:r w:rsidRPr="00121F33">
        <w:rPr>
          <w:lang w:val="fr-FR"/>
        </w:rPr>
        <w:t>il y a eu reconnaissance par les autorités, au moins en substance, d</w:t>
      </w:r>
      <w:r w:rsidR="001F707F">
        <w:rPr>
          <w:lang w:val="fr-FR"/>
        </w:rPr>
        <w:t>’</w:t>
      </w:r>
      <w:r w:rsidRPr="00121F33">
        <w:rPr>
          <w:lang w:val="fr-FR"/>
        </w:rPr>
        <w:t>une violation d</w:t>
      </w:r>
      <w:r w:rsidR="001F707F">
        <w:rPr>
          <w:lang w:val="fr-FR"/>
        </w:rPr>
        <w:t>’</w:t>
      </w:r>
      <w:r w:rsidRPr="00121F33">
        <w:rPr>
          <w:lang w:val="fr-FR"/>
        </w:rPr>
        <w:t>un droit protégé par la Convention (</w:t>
      </w:r>
      <w:r w:rsidRPr="00121F33">
        <w:rPr>
          <w:i/>
          <w:lang w:val="fr-FR"/>
        </w:rPr>
        <w:t xml:space="preserve">Cocchiarella c. </w:t>
      </w:r>
      <w:r w:rsidR="005C056D">
        <w:rPr>
          <w:i/>
          <w:lang w:val="fr-FR"/>
        </w:rPr>
        <w:t>Italie,</w:t>
      </w:r>
      <w:r w:rsidRPr="00121F33">
        <w:rPr>
          <w:lang w:val="fr-FR"/>
        </w:rPr>
        <w:t xml:space="preserve"> précité, § 84).</w:t>
      </w:r>
    </w:p>
    <w:p w:rsidR="007F063B" w:rsidRPr="00121F33" w:rsidRDefault="007F063B" w:rsidP="00E75ABC">
      <w:pPr>
        <w:pStyle w:val="ECHRPara"/>
        <w:rPr>
          <w:lang w:val="fr-FR"/>
        </w:rPr>
      </w:pPr>
      <w:r>
        <w:rPr>
          <w:lang w:val="fr-FR"/>
        </w:rPr>
        <w:t>24</w:t>
      </w:r>
      <w:r w:rsidRPr="00121F33">
        <w:rPr>
          <w:lang w:val="fr-FR"/>
        </w:rPr>
        <w:t>.  La Cour estime que la reconnaissance de la violation réside dans la déclaration de l</w:t>
      </w:r>
      <w:r w:rsidR="001F707F">
        <w:rPr>
          <w:lang w:val="fr-FR"/>
        </w:rPr>
        <w:t>’</w:t>
      </w:r>
      <w:r w:rsidRPr="00121F33">
        <w:rPr>
          <w:lang w:val="fr-FR"/>
        </w:rPr>
        <w:t>illégalité de l</w:t>
      </w:r>
      <w:r w:rsidR="001F707F">
        <w:rPr>
          <w:lang w:val="fr-FR"/>
        </w:rPr>
        <w:t>’</w:t>
      </w:r>
      <w:r w:rsidRPr="00121F33">
        <w:rPr>
          <w:lang w:val="fr-FR"/>
        </w:rPr>
        <w:t>occupation du terrain par la cour d</w:t>
      </w:r>
      <w:r w:rsidR="001F707F">
        <w:rPr>
          <w:lang w:val="fr-FR"/>
        </w:rPr>
        <w:t>’</w:t>
      </w:r>
      <w:r w:rsidRPr="00121F33">
        <w:rPr>
          <w:lang w:val="fr-FR"/>
        </w:rPr>
        <w:t>appel de Naples. La Cour note ensuite que les autorités internes ont constaté en substance la violation du droit de propriété de la requérante. En outre, elle considère que le redressement reconnu par la cour d</w:t>
      </w:r>
      <w:r w:rsidR="001F707F">
        <w:rPr>
          <w:lang w:val="fr-FR"/>
        </w:rPr>
        <w:t>’</w:t>
      </w:r>
      <w:r w:rsidRPr="00121F33">
        <w:rPr>
          <w:lang w:val="fr-FR"/>
        </w:rPr>
        <w:t>appel de Naples constitue un redressement approprié et suffisant, compte tenu, en particulier, de ce que la requérante n</w:t>
      </w:r>
      <w:r w:rsidR="001F707F">
        <w:rPr>
          <w:lang w:val="fr-FR"/>
        </w:rPr>
        <w:t>’</w:t>
      </w:r>
      <w:r w:rsidRPr="00121F33">
        <w:rPr>
          <w:lang w:val="fr-FR"/>
        </w:rPr>
        <w:t>a jamais perdu la propriété du terrain, que l</w:t>
      </w:r>
      <w:r w:rsidR="001F707F">
        <w:rPr>
          <w:lang w:val="fr-FR"/>
        </w:rPr>
        <w:t>’</w:t>
      </w:r>
      <w:r w:rsidRPr="00121F33">
        <w:rPr>
          <w:lang w:val="fr-FR"/>
        </w:rPr>
        <w:t>installation électrique a été enlevée et qu</w:t>
      </w:r>
      <w:r w:rsidR="001F707F">
        <w:rPr>
          <w:lang w:val="fr-FR"/>
        </w:rPr>
        <w:t>’</w:t>
      </w:r>
      <w:r w:rsidRPr="00121F33">
        <w:rPr>
          <w:lang w:val="fr-FR"/>
        </w:rPr>
        <w:t>elle a reçu une somme calculée sur la base de la valeur vénale à titre de dédommagement pour l</w:t>
      </w:r>
      <w:r w:rsidR="001F707F">
        <w:rPr>
          <w:lang w:val="fr-FR"/>
        </w:rPr>
        <w:t>’</w:t>
      </w:r>
      <w:r w:rsidRPr="00121F33">
        <w:rPr>
          <w:lang w:val="fr-FR"/>
        </w:rPr>
        <w:t>occupation illégitime du terrain</w:t>
      </w:r>
      <w:r>
        <w:rPr>
          <w:lang w:val="fr-FR"/>
        </w:rPr>
        <w:t>, satisfaisant de la sorte les demandes du père de la requérante du 5 octobre 1994 (</w:t>
      </w:r>
      <w:r w:rsidRPr="004F2ECD">
        <w:rPr>
          <w:lang w:val="fr-FR"/>
        </w:rPr>
        <w:t xml:space="preserve">paragraphe </w:t>
      </w:r>
      <w:r>
        <w:rPr>
          <w:lang w:val="fr-FR"/>
        </w:rPr>
        <w:t>5</w:t>
      </w:r>
      <w:r w:rsidRPr="004F2ECD">
        <w:rPr>
          <w:lang w:val="fr-FR"/>
        </w:rPr>
        <w:t xml:space="preserve"> ci-dessus)</w:t>
      </w:r>
      <w:r w:rsidRPr="00121F33">
        <w:rPr>
          <w:lang w:val="fr-FR"/>
        </w:rPr>
        <w:t>.</w:t>
      </w:r>
    </w:p>
    <w:p w:rsidR="007F063B" w:rsidRPr="00121F33" w:rsidRDefault="007F063B" w:rsidP="00E75ABC">
      <w:pPr>
        <w:pStyle w:val="ECHRPara"/>
        <w:rPr>
          <w:lang w:val="fr-FR"/>
        </w:rPr>
      </w:pPr>
      <w:r>
        <w:rPr>
          <w:lang w:val="fr-FR"/>
        </w:rPr>
        <w:lastRenderedPageBreak/>
        <w:t>25</w:t>
      </w:r>
      <w:r w:rsidRPr="00121F33">
        <w:rPr>
          <w:lang w:val="fr-FR"/>
        </w:rPr>
        <w:t>.  A la lumière de ces considérations, la Cour estime que la requérante ne peut plus se prétendre victime de la violation alléguée au sens de l</w:t>
      </w:r>
      <w:r w:rsidR="001F707F">
        <w:rPr>
          <w:lang w:val="fr-FR"/>
        </w:rPr>
        <w:t>’</w:t>
      </w:r>
      <w:r w:rsidRPr="00121F33">
        <w:rPr>
          <w:lang w:val="fr-FR"/>
        </w:rPr>
        <w:t>article</w:t>
      </w:r>
      <w:r w:rsidR="006D5452">
        <w:rPr>
          <w:lang w:val="fr-FR"/>
        </w:rPr>
        <w:t> </w:t>
      </w:r>
      <w:r w:rsidRPr="00121F33">
        <w:rPr>
          <w:lang w:val="fr-FR"/>
        </w:rPr>
        <w:t>34 de la Convention.</w:t>
      </w:r>
    </w:p>
    <w:p w:rsidR="007F063B" w:rsidRPr="00121F33" w:rsidRDefault="007F063B" w:rsidP="00E75ABC">
      <w:pPr>
        <w:pStyle w:val="ECHRPara"/>
        <w:rPr>
          <w:lang w:val="fr-FR"/>
        </w:rPr>
      </w:pPr>
      <w:r>
        <w:rPr>
          <w:lang w:val="fr-FR"/>
        </w:rPr>
        <w:t>26</w:t>
      </w:r>
      <w:r w:rsidRPr="00121F33">
        <w:rPr>
          <w:lang w:val="fr-FR"/>
        </w:rPr>
        <w:t xml:space="preserve">.  Par conséquent, cette partie du grief est incompatible </w:t>
      </w:r>
      <w:r w:rsidRPr="00121F33">
        <w:rPr>
          <w:i/>
          <w:lang w:val="fr-FR"/>
        </w:rPr>
        <w:t>ratione personae</w:t>
      </w:r>
      <w:r w:rsidRPr="00121F33">
        <w:rPr>
          <w:lang w:val="fr-FR"/>
        </w:rPr>
        <w:t xml:space="preserve"> avec les dispositions de la Convention au sens de l</w:t>
      </w:r>
      <w:r w:rsidR="001F707F">
        <w:rPr>
          <w:lang w:val="fr-FR"/>
        </w:rPr>
        <w:t>’</w:t>
      </w:r>
      <w:r w:rsidRPr="00121F33">
        <w:rPr>
          <w:lang w:val="fr-FR"/>
        </w:rPr>
        <w:t>article 35 § 3 et doit être rejetée en vertu de l</w:t>
      </w:r>
      <w:r w:rsidR="001F707F">
        <w:rPr>
          <w:lang w:val="fr-FR"/>
        </w:rPr>
        <w:t>’</w:t>
      </w:r>
      <w:r w:rsidRPr="00121F33">
        <w:rPr>
          <w:lang w:val="fr-FR"/>
        </w:rPr>
        <w:t>article 35 § 4.</w:t>
      </w:r>
    </w:p>
    <w:p w:rsidR="007F063B" w:rsidRPr="00121F33" w:rsidRDefault="007F063B" w:rsidP="00E75ABC">
      <w:pPr>
        <w:pStyle w:val="ECHRPara"/>
        <w:rPr>
          <w:lang w:val="fr-FR"/>
        </w:rPr>
      </w:pPr>
      <w:r>
        <w:rPr>
          <w:lang w:val="fr-FR"/>
        </w:rPr>
        <w:t>27</w:t>
      </w:r>
      <w:r w:rsidRPr="00121F33">
        <w:rPr>
          <w:lang w:val="fr-FR"/>
        </w:rPr>
        <w:t>.  Invoquant la même disposition, elle se plaint de l</w:t>
      </w:r>
      <w:r w:rsidR="001F707F">
        <w:rPr>
          <w:lang w:val="fr-FR"/>
        </w:rPr>
        <w:t>’</w:t>
      </w:r>
      <w:r w:rsidRPr="00121F33">
        <w:rPr>
          <w:lang w:val="fr-FR"/>
        </w:rPr>
        <w:t>application à sa cause de la loi n</w:t>
      </w:r>
      <w:r w:rsidRPr="00121F33">
        <w:rPr>
          <w:vertAlign w:val="superscript"/>
          <w:lang w:val="fr-FR"/>
        </w:rPr>
        <w:t>o</w:t>
      </w:r>
      <w:r w:rsidRPr="00121F33">
        <w:rPr>
          <w:lang w:val="fr-FR"/>
        </w:rPr>
        <w:t xml:space="preserve"> 359 de 1992.</w:t>
      </w:r>
    </w:p>
    <w:p w:rsidR="007F063B" w:rsidRPr="00121F33" w:rsidRDefault="007F063B" w:rsidP="00E75ABC">
      <w:pPr>
        <w:pStyle w:val="ECHRPara"/>
        <w:rPr>
          <w:lang w:val="fr-FR"/>
        </w:rPr>
      </w:pPr>
      <w:r>
        <w:rPr>
          <w:lang w:val="fr-FR"/>
        </w:rPr>
        <w:t>28</w:t>
      </w:r>
      <w:r w:rsidRPr="00121F33">
        <w:rPr>
          <w:lang w:val="fr-FR"/>
        </w:rPr>
        <w:t>.  La Cour relève que la loi en question n</w:t>
      </w:r>
      <w:r w:rsidR="001F707F">
        <w:rPr>
          <w:lang w:val="fr-FR"/>
        </w:rPr>
        <w:t>’</w:t>
      </w:r>
      <w:r w:rsidRPr="00121F33">
        <w:rPr>
          <w:lang w:val="fr-FR"/>
        </w:rPr>
        <w:t>ayant pas été appliquée dans le cas d</w:t>
      </w:r>
      <w:r w:rsidR="001F707F">
        <w:rPr>
          <w:lang w:val="fr-FR"/>
        </w:rPr>
        <w:t>’</w:t>
      </w:r>
      <w:r w:rsidRPr="00121F33">
        <w:rPr>
          <w:lang w:val="fr-FR"/>
        </w:rPr>
        <w:t xml:space="preserve">espèce, cette partie du grief est incompatible </w:t>
      </w:r>
      <w:r w:rsidRPr="00121F33">
        <w:rPr>
          <w:i/>
          <w:lang w:val="fr-FR"/>
        </w:rPr>
        <w:t>ratione personae</w:t>
      </w:r>
      <w:r w:rsidRPr="00121F33">
        <w:rPr>
          <w:lang w:val="fr-FR"/>
        </w:rPr>
        <w:t xml:space="preserve"> avec les dispositions de la Convention au sens de l</w:t>
      </w:r>
      <w:r w:rsidR="001F707F">
        <w:rPr>
          <w:lang w:val="fr-FR"/>
        </w:rPr>
        <w:t>’</w:t>
      </w:r>
      <w:r w:rsidRPr="00121F33">
        <w:rPr>
          <w:lang w:val="fr-FR"/>
        </w:rPr>
        <w:t>article 35 § 3 et doit être rejetée en vertu de l</w:t>
      </w:r>
      <w:r w:rsidR="001F707F">
        <w:rPr>
          <w:lang w:val="fr-FR"/>
        </w:rPr>
        <w:t>’</w:t>
      </w:r>
      <w:r w:rsidRPr="00121F33">
        <w:rPr>
          <w:lang w:val="fr-FR"/>
        </w:rPr>
        <w:t>article 35 § 4.</w:t>
      </w:r>
    </w:p>
    <w:p w:rsidR="007F063B" w:rsidRPr="007435E3" w:rsidRDefault="007F063B" w:rsidP="00E75ABC">
      <w:pPr>
        <w:pStyle w:val="ECHRHeading2"/>
        <w:rPr>
          <w:lang w:val="fr-FR"/>
        </w:rPr>
      </w:pPr>
      <w:r w:rsidRPr="00121F33">
        <w:rPr>
          <w:lang w:val="fr-FR"/>
        </w:rPr>
        <w:t>B.  Grief tiré de l</w:t>
      </w:r>
      <w:r w:rsidR="001F707F">
        <w:rPr>
          <w:lang w:val="fr-FR"/>
        </w:rPr>
        <w:t>’</w:t>
      </w:r>
      <w:r w:rsidRPr="00121F33">
        <w:rPr>
          <w:lang w:val="fr-FR"/>
        </w:rPr>
        <w:t>article 6 § 1 de la Convention</w:t>
      </w:r>
    </w:p>
    <w:p w:rsidR="007F063B" w:rsidRPr="00121F33" w:rsidRDefault="007F063B" w:rsidP="00E75ABC">
      <w:pPr>
        <w:pStyle w:val="ECHRPara"/>
        <w:rPr>
          <w:lang w:val="fr-FR"/>
        </w:rPr>
      </w:pPr>
      <w:r>
        <w:rPr>
          <w:lang w:val="fr-FR"/>
        </w:rPr>
        <w:t>29</w:t>
      </w:r>
      <w:r w:rsidRPr="00121F33">
        <w:rPr>
          <w:lang w:val="fr-FR"/>
        </w:rPr>
        <w:t>.  La requérante allègue que la procédure entamée par son père devant le tribunal de Bénévent a été excessivement longue. Elle invoque l</w:t>
      </w:r>
      <w:r w:rsidR="001F707F">
        <w:rPr>
          <w:lang w:val="fr-FR"/>
        </w:rPr>
        <w:t>’</w:t>
      </w:r>
      <w:r w:rsidRPr="00121F33">
        <w:rPr>
          <w:lang w:val="fr-FR"/>
        </w:rPr>
        <w:t>article</w:t>
      </w:r>
      <w:r w:rsidR="006D5452">
        <w:rPr>
          <w:lang w:val="fr-FR"/>
        </w:rPr>
        <w:t> </w:t>
      </w:r>
      <w:r w:rsidRPr="00121F33">
        <w:rPr>
          <w:lang w:val="fr-FR"/>
        </w:rPr>
        <w:t>6 § 1 de la Convention, qui, en ses parties pertinentes, se lit comme suit :</w:t>
      </w:r>
    </w:p>
    <w:p w:rsidR="007F063B" w:rsidRPr="00DD7BD2" w:rsidRDefault="007F063B" w:rsidP="00E75ABC">
      <w:pPr>
        <w:pStyle w:val="ECHRParaQuote"/>
        <w:rPr>
          <w:lang w:val="fr-FR"/>
        </w:rPr>
      </w:pPr>
      <w:r w:rsidRPr="00560699">
        <w:rPr>
          <w:lang w:val="fr-FR"/>
        </w:rPr>
        <w:t>« Toute personne a droit à ce que sa cause soit entendue (...) dans un délai raisonnable, par un tribunal (...), qui décidera (...) des contestations sur ses droits et obligations de caractère civil (...) </w:t>
      </w:r>
      <w:r w:rsidRPr="00DD7BD2">
        <w:rPr>
          <w:lang w:val="fr-FR"/>
        </w:rPr>
        <w:t>»</w:t>
      </w:r>
    </w:p>
    <w:p w:rsidR="007F063B" w:rsidRPr="00121F33" w:rsidRDefault="007F063B" w:rsidP="00E75ABC">
      <w:pPr>
        <w:pStyle w:val="ECHRPara"/>
        <w:rPr>
          <w:lang w:val="fr-FR"/>
        </w:rPr>
      </w:pPr>
      <w:r>
        <w:rPr>
          <w:lang w:val="fr-FR"/>
        </w:rPr>
        <w:t>30</w:t>
      </w:r>
      <w:r w:rsidRPr="00121F33">
        <w:rPr>
          <w:lang w:val="fr-FR"/>
        </w:rPr>
        <w:t>.  La Cour note que la requérante ne s</w:t>
      </w:r>
      <w:r w:rsidR="001F707F">
        <w:rPr>
          <w:lang w:val="fr-FR"/>
        </w:rPr>
        <w:t>’</w:t>
      </w:r>
      <w:r>
        <w:rPr>
          <w:lang w:val="fr-FR"/>
        </w:rPr>
        <w:t>est pas pourvue en c</w:t>
      </w:r>
      <w:r w:rsidRPr="00121F33">
        <w:rPr>
          <w:lang w:val="fr-FR"/>
        </w:rPr>
        <w:t>assation contre la décision de la cour d</w:t>
      </w:r>
      <w:r w:rsidR="001F707F">
        <w:rPr>
          <w:lang w:val="fr-FR"/>
        </w:rPr>
        <w:t>’</w:t>
      </w:r>
      <w:r w:rsidRPr="00121F33">
        <w:rPr>
          <w:lang w:val="fr-FR"/>
        </w:rPr>
        <w:t>appel du 1</w:t>
      </w:r>
      <w:r w:rsidRPr="00121F33">
        <w:rPr>
          <w:vertAlign w:val="superscript"/>
          <w:lang w:val="fr-FR"/>
        </w:rPr>
        <w:t>er</w:t>
      </w:r>
      <w:r w:rsidRPr="00121F33">
        <w:rPr>
          <w:lang w:val="fr-FR"/>
        </w:rPr>
        <w:t xml:space="preserve"> septembre 2004.</w:t>
      </w:r>
    </w:p>
    <w:p w:rsidR="007F063B" w:rsidRPr="00121F33" w:rsidRDefault="007F063B" w:rsidP="00E75ABC">
      <w:pPr>
        <w:pStyle w:val="ECHRPara"/>
        <w:keepNext/>
        <w:keepLines/>
        <w:rPr>
          <w:lang w:val="fr-FR"/>
        </w:rPr>
      </w:pPr>
      <w:r>
        <w:rPr>
          <w:lang w:val="fr-FR"/>
        </w:rPr>
        <w:t>31</w:t>
      </w:r>
      <w:r w:rsidRPr="00121F33">
        <w:rPr>
          <w:lang w:val="fr-FR"/>
        </w:rPr>
        <w:t>.  Elle rappelle que, d</w:t>
      </w:r>
      <w:r w:rsidR="001F707F">
        <w:rPr>
          <w:lang w:val="fr-FR"/>
        </w:rPr>
        <w:t>’</w:t>
      </w:r>
      <w:r w:rsidRPr="00121F33">
        <w:rPr>
          <w:lang w:val="fr-FR"/>
        </w:rPr>
        <w:t xml:space="preserve">après la décision </w:t>
      </w:r>
      <w:r w:rsidRPr="00121F33">
        <w:rPr>
          <w:i/>
          <w:lang w:val="fr-FR"/>
        </w:rPr>
        <w:t>Di Sante c. Italie</w:t>
      </w:r>
      <w:r w:rsidRPr="00121F33">
        <w:rPr>
          <w:lang w:val="fr-FR"/>
        </w:rPr>
        <w:t xml:space="preserve"> ((déc.), n</w:t>
      </w:r>
      <w:r w:rsidRPr="00121F33">
        <w:rPr>
          <w:vertAlign w:val="superscript"/>
          <w:lang w:val="fr-FR"/>
        </w:rPr>
        <w:t>o</w:t>
      </w:r>
      <w:r>
        <w:rPr>
          <w:vertAlign w:val="superscript"/>
          <w:lang w:val="fr-FR"/>
        </w:rPr>
        <w:t> </w:t>
      </w:r>
      <w:r w:rsidRPr="00121F33">
        <w:rPr>
          <w:lang w:val="fr-FR"/>
        </w:rPr>
        <w:t>56079/00, 24 juin 2004), à partir du 26 juillet 2004 les requérants, aux fins du respect de la règle de l</w:t>
      </w:r>
      <w:r w:rsidR="001F707F">
        <w:rPr>
          <w:lang w:val="fr-FR"/>
        </w:rPr>
        <w:t>’</w:t>
      </w:r>
      <w:r w:rsidRPr="00121F33">
        <w:rPr>
          <w:lang w:val="fr-FR"/>
        </w:rPr>
        <w:t>épuisement préalable des voies de recours internes posée par l</w:t>
      </w:r>
      <w:r w:rsidR="001F707F">
        <w:rPr>
          <w:lang w:val="fr-FR"/>
        </w:rPr>
        <w:t>’</w:t>
      </w:r>
      <w:r w:rsidRPr="00121F33">
        <w:rPr>
          <w:lang w:val="fr-FR"/>
        </w:rPr>
        <w:t>article 35 § 1 de la Convention, doivent se pourvoir en cassation pour contester le manque ou l</w:t>
      </w:r>
      <w:r w:rsidR="001F707F">
        <w:rPr>
          <w:lang w:val="fr-FR"/>
        </w:rPr>
        <w:t>’</w:t>
      </w:r>
      <w:r w:rsidRPr="00121F33">
        <w:rPr>
          <w:lang w:val="fr-FR"/>
        </w:rPr>
        <w:t>insuffisance du montant accordé à titre de dommage non patrimonial par les cours d</w:t>
      </w:r>
      <w:r w:rsidR="001F707F">
        <w:rPr>
          <w:lang w:val="fr-FR"/>
        </w:rPr>
        <w:t>’</w:t>
      </w:r>
      <w:r w:rsidRPr="00121F33">
        <w:rPr>
          <w:lang w:val="fr-FR"/>
        </w:rPr>
        <w:t>appel « Pinto ».</w:t>
      </w:r>
    </w:p>
    <w:p w:rsidR="007F063B" w:rsidRDefault="007F063B" w:rsidP="00E75ABC">
      <w:pPr>
        <w:pStyle w:val="ECHRPara"/>
        <w:rPr>
          <w:lang w:val="fr-FR"/>
        </w:rPr>
      </w:pPr>
      <w:r>
        <w:rPr>
          <w:lang w:val="fr-FR"/>
        </w:rPr>
        <w:t>32</w:t>
      </w:r>
      <w:r w:rsidRPr="00121F33">
        <w:rPr>
          <w:lang w:val="fr-FR"/>
        </w:rPr>
        <w:t>.  Il s</w:t>
      </w:r>
      <w:r w:rsidR="001F707F">
        <w:rPr>
          <w:lang w:val="fr-FR"/>
        </w:rPr>
        <w:t>’</w:t>
      </w:r>
      <w:r w:rsidRPr="00121F33">
        <w:rPr>
          <w:lang w:val="fr-FR"/>
        </w:rPr>
        <w:t>ensuit que cette partie de la requête est irrecevable pour non</w:t>
      </w:r>
      <w:r w:rsidRPr="00121F33">
        <w:rPr>
          <w:lang w:val="fr-FR"/>
        </w:rPr>
        <w:noBreakHyphen/>
        <w:t>épuisement des voies de recours internes et doit être rejetée en application de l</w:t>
      </w:r>
      <w:r w:rsidR="001F707F">
        <w:rPr>
          <w:lang w:val="fr-FR"/>
        </w:rPr>
        <w:t>’</w:t>
      </w:r>
      <w:r w:rsidRPr="00121F33">
        <w:rPr>
          <w:lang w:val="fr-FR"/>
        </w:rPr>
        <w:t>article 35 §§ 1 et 4 de la Convention.</w:t>
      </w:r>
    </w:p>
    <w:p w:rsidR="007F063B" w:rsidRPr="00121F33" w:rsidRDefault="007F063B" w:rsidP="00E75ABC">
      <w:pPr>
        <w:pStyle w:val="JuParaLast"/>
        <w:rPr>
          <w:lang w:val="fr-FR"/>
        </w:rPr>
      </w:pPr>
      <w:r w:rsidRPr="00121F33">
        <w:rPr>
          <w:lang w:val="fr-FR"/>
        </w:rPr>
        <w:t>Par ces motifs, la Cour, à l</w:t>
      </w:r>
      <w:r w:rsidR="001F707F">
        <w:rPr>
          <w:lang w:val="fr-FR"/>
        </w:rPr>
        <w:t>’</w:t>
      </w:r>
      <w:r w:rsidRPr="00121F33">
        <w:rPr>
          <w:lang w:val="fr-FR"/>
        </w:rPr>
        <w:t>unanimité,</w:t>
      </w:r>
    </w:p>
    <w:p w:rsidR="007F063B" w:rsidRPr="00121F33" w:rsidRDefault="007F063B" w:rsidP="00505D19">
      <w:pPr>
        <w:pStyle w:val="DecList"/>
        <w:rPr>
          <w:lang w:val="fr-FR"/>
        </w:rPr>
      </w:pPr>
      <w:r w:rsidRPr="00505D19">
        <w:rPr>
          <w:i/>
          <w:lang w:val="fr-FR"/>
        </w:rPr>
        <w:t>Déclare</w:t>
      </w:r>
      <w:r w:rsidRPr="006D5452">
        <w:rPr>
          <w:lang w:val="fr-FR"/>
        </w:rPr>
        <w:t xml:space="preserve"> </w:t>
      </w:r>
      <w:r w:rsidRPr="00121F33">
        <w:rPr>
          <w:lang w:val="fr-FR"/>
        </w:rPr>
        <w:t>la requête irrecevable.</w:t>
      </w:r>
    </w:p>
    <w:p w:rsidR="006544C4" w:rsidRPr="00AD4F05" w:rsidRDefault="006544C4" w:rsidP="004047FE">
      <w:pPr>
        <w:pStyle w:val="ECHRPara"/>
        <w:rPr>
          <w:sz w:val="2"/>
          <w:szCs w:val="2"/>
          <w:lang w:val="fr-FR" w:eastAsia="en-GB"/>
        </w:rPr>
      </w:pPr>
    </w:p>
    <w:p w:rsidR="006F19B0" w:rsidRPr="00AD4F05" w:rsidRDefault="00F40988" w:rsidP="006F19B0">
      <w:pPr>
        <w:pStyle w:val="JuParaLast"/>
        <w:rPr>
          <w:lang w:val="fr-FR"/>
        </w:rPr>
      </w:pPr>
      <w:r w:rsidRPr="00AD4F05">
        <w:rPr>
          <w:szCs w:val="24"/>
          <w:lang w:val="fr-FR"/>
        </w:rPr>
        <w:t xml:space="preserve">Fait en français puis communiqué par écrit le </w:t>
      </w:r>
      <w:r w:rsidR="007F063B">
        <w:rPr>
          <w:szCs w:val="24"/>
          <w:lang w:val="fr-FR"/>
        </w:rPr>
        <w:t>7 avril 2016</w:t>
      </w:r>
      <w:r w:rsidRPr="00AD4F05">
        <w:rPr>
          <w:lang w:val="fr-FR"/>
        </w:rPr>
        <w:t>.</w:t>
      </w:r>
    </w:p>
    <w:p w:rsidR="00CE6ED9" w:rsidRPr="00AD4F05" w:rsidRDefault="007F063B" w:rsidP="00B87FB1">
      <w:pPr>
        <w:pStyle w:val="JuSigned"/>
        <w:rPr>
          <w:lang w:val="fr-FR"/>
        </w:rPr>
      </w:pPr>
      <w:r w:rsidRPr="00AD4F05">
        <w:rPr>
          <w:lang w:val="fr-FR"/>
        </w:rPr>
        <w:tab/>
      </w:r>
      <w:r>
        <w:rPr>
          <w:lang w:val="fr-FR"/>
        </w:rPr>
        <w:t>André</w:t>
      </w:r>
      <w:r w:rsidRPr="00AD4F05">
        <w:rPr>
          <w:lang w:val="fr-FR"/>
        </w:rPr>
        <w:t xml:space="preserve"> </w:t>
      </w:r>
      <w:r>
        <w:rPr>
          <w:lang w:val="fr-FR"/>
        </w:rPr>
        <w:t>Wampach</w:t>
      </w:r>
      <w:r w:rsidR="006544C4" w:rsidRPr="00AD4F05">
        <w:rPr>
          <w:lang w:val="fr-FR"/>
        </w:rPr>
        <w:tab/>
      </w:r>
      <w:r>
        <w:rPr>
          <w:lang w:val="fr-FR"/>
        </w:rPr>
        <w:t>Kristina</w:t>
      </w:r>
      <w:r w:rsidRPr="00AD4F05">
        <w:rPr>
          <w:lang w:val="fr-FR"/>
        </w:rPr>
        <w:t xml:space="preserve"> </w:t>
      </w:r>
      <w:r>
        <w:rPr>
          <w:lang w:val="fr-FR"/>
        </w:rPr>
        <w:t>Pardalos</w:t>
      </w:r>
      <w:r w:rsidR="006544C4" w:rsidRPr="00AD4F05">
        <w:rPr>
          <w:lang w:val="fr-FR"/>
        </w:rPr>
        <w:br/>
      </w:r>
      <w:r w:rsidR="006544C4" w:rsidRPr="00AD4F05">
        <w:rPr>
          <w:lang w:val="fr-FR"/>
        </w:rPr>
        <w:tab/>
      </w:r>
      <w:r>
        <w:rPr>
          <w:lang w:val="fr-FR"/>
        </w:rPr>
        <w:t>Greffier adjoint</w:t>
      </w:r>
      <w:r w:rsidR="006544C4" w:rsidRPr="00AD4F05">
        <w:rPr>
          <w:lang w:val="fr-FR"/>
        </w:rPr>
        <w:tab/>
      </w:r>
      <w:r w:rsidRPr="00AD4F05">
        <w:rPr>
          <w:lang w:val="fr-FR"/>
        </w:rPr>
        <w:t>Présidente</w:t>
      </w:r>
    </w:p>
    <w:sectPr w:rsidR="00CE6ED9" w:rsidRPr="00AD4F05"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464" w:rsidRDefault="00417464" w:rsidP="006544C4">
      <w:r>
        <w:separator/>
      </w:r>
    </w:p>
  </w:endnote>
  <w:endnote w:type="continuationSeparator" w:id="0">
    <w:p w:rsidR="00417464" w:rsidRDefault="00417464"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63B" w:rsidRPr="00150BFA" w:rsidRDefault="007F063B" w:rsidP="0020718E">
    <w:pPr>
      <w:jc w:val="center"/>
    </w:pPr>
    <w:r>
      <w:rPr>
        <w:noProof/>
        <w:lang w:val="it-IT" w:eastAsia="it-IT"/>
      </w:rPr>
      <w:drawing>
        <wp:inline distT="0" distB="0" distL="0" distR="0" wp14:anchorId="505130CC" wp14:editId="55C9E0BE">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112D62" w:rsidRPr="00633A19" w:rsidRDefault="00417464" w:rsidP="003146E4">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464" w:rsidRDefault="00417464" w:rsidP="006544C4">
      <w:r>
        <w:separator/>
      </w:r>
    </w:p>
  </w:footnote>
  <w:footnote w:type="continuationSeparator" w:id="0">
    <w:p w:rsidR="00417464" w:rsidRDefault="00417464"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D527F" w:rsidRDefault="007F063B" w:rsidP="003312A3">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7D6BD6">
      <w:rPr>
        <w:rStyle w:val="Numeropagina"/>
        <w:noProof/>
        <w:lang w:val="en-GB"/>
      </w:rPr>
      <w:t>2</w:t>
    </w:r>
    <w:r>
      <w:rPr>
        <w:rStyle w:val="Numeropagina"/>
        <w:lang w:val="en-GB"/>
      </w:rPr>
      <w:fldChar w:fldCharType="end"/>
    </w:r>
    <w:r w:rsidR="00334EC5" w:rsidRPr="000D527F">
      <w:rPr>
        <w:lang w:val="en-GB"/>
      </w:rPr>
      <w:tab/>
      <w:t xml:space="preserve">DÉCISION </w:t>
    </w:r>
    <w:r>
      <w:rPr>
        <w:lang w:val="en-GB"/>
      </w:rPr>
      <w:t>DE PAOLA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62" w:rsidRPr="000D527F" w:rsidRDefault="00334EC5" w:rsidP="006544C4">
    <w:pPr>
      <w:pStyle w:val="ECHRHeader"/>
      <w:rPr>
        <w:lang w:val="en-GB"/>
      </w:rPr>
    </w:pPr>
    <w:r>
      <w:tab/>
    </w:r>
    <w:r w:rsidRPr="000D527F">
      <w:rPr>
        <w:lang w:val="en-GB"/>
      </w:rPr>
      <w:t xml:space="preserve">DÉCISION </w:t>
    </w:r>
    <w:r w:rsidR="007F063B">
      <w:rPr>
        <w:lang w:val="en-GB"/>
      </w:rPr>
      <w:t>DE PAOLA c. ITALIE</w:t>
    </w:r>
    <w:r w:rsidRPr="000D527F">
      <w:rPr>
        <w:lang w:val="en-GB"/>
      </w:rPr>
      <w:tab/>
    </w:r>
    <w:r w:rsidR="007F063B">
      <w:rPr>
        <w:rStyle w:val="Numeropagina"/>
        <w:lang w:val="en-GB"/>
      </w:rPr>
      <w:fldChar w:fldCharType="begin"/>
    </w:r>
    <w:r w:rsidR="007F063B">
      <w:rPr>
        <w:rStyle w:val="Numeropagina"/>
        <w:lang w:val="en-GB"/>
      </w:rPr>
      <w:instrText xml:space="preserve"> PAGE </w:instrText>
    </w:r>
    <w:r w:rsidR="007F063B">
      <w:rPr>
        <w:rStyle w:val="Numeropagina"/>
        <w:lang w:val="en-GB"/>
      </w:rPr>
      <w:fldChar w:fldCharType="separate"/>
    </w:r>
    <w:r w:rsidR="007D6BD6">
      <w:rPr>
        <w:rStyle w:val="Numeropagina"/>
        <w:noProof/>
        <w:lang w:val="en-GB"/>
      </w:rPr>
      <w:t>5</w:t>
    </w:r>
    <w:r w:rsidR="007F063B">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63B" w:rsidRPr="00A45145" w:rsidRDefault="007F063B" w:rsidP="00A45145">
    <w:pPr>
      <w:jc w:val="center"/>
    </w:pPr>
    <w:r>
      <w:rPr>
        <w:noProof/>
        <w:lang w:val="it-IT" w:eastAsia="it-IT"/>
      </w:rPr>
      <w:drawing>
        <wp:inline distT="0" distB="0" distL="0" distR="0" wp14:anchorId="7AA6C992" wp14:editId="6B8FDA2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112D62" w:rsidRDefault="00417464" w:rsidP="003146E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F5865E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10"/>
  </w:num>
  <w:num w:numId="7">
    <w:abstractNumId w:val="11"/>
  </w:num>
  <w:num w:numId="8">
    <w:abstractNumId w:val="7"/>
  </w:num>
  <w:num w:numId="9">
    <w:abstractNumId w:val="6"/>
  </w:num>
  <w:num w:numId="10">
    <w:abstractNumId w:val="15"/>
  </w:num>
  <w:num w:numId="11">
    <w:abstractNumId w:val="15"/>
  </w:num>
  <w:num w:numId="12">
    <w:abstractNumId w:val="13"/>
  </w:num>
  <w:num w:numId="13">
    <w:abstractNumId w:val="14"/>
  </w:num>
  <w:num w:numId="14">
    <w:abstractNumId w:val="16"/>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1"/>
    <w:docVar w:name="DocVarPREMATURE" w:val="0"/>
    <w:docVar w:name="EMM" w:val="0"/>
    <w:docVar w:name="ETRANSMISSION" w:val="PAR VOIE ÉLECTRONIQUE UNIQUEMENT"/>
    <w:docVar w:name="L4_1Annex" w:val="0"/>
    <w:docVar w:name="L4_1Anonymity" w:val="0"/>
    <w:docVar w:name="L4_1AppNatList" w:val="roumain"/>
    <w:docVar w:name="NBEMMDOC" w:val="0"/>
    <w:docVar w:name="Plural" w:val="0"/>
    <w:docVar w:name="SignForeName" w:val="0"/>
  </w:docVars>
  <w:rsids>
    <w:rsidRoot w:val="007F063B"/>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6678F"/>
    <w:rsid w:val="001832BD"/>
    <w:rsid w:val="001943B5"/>
    <w:rsid w:val="00195134"/>
    <w:rsid w:val="001A145B"/>
    <w:rsid w:val="001A674C"/>
    <w:rsid w:val="001B3B24"/>
    <w:rsid w:val="001C0F98"/>
    <w:rsid w:val="001C2A42"/>
    <w:rsid w:val="001D09D1"/>
    <w:rsid w:val="001D63ED"/>
    <w:rsid w:val="001D7348"/>
    <w:rsid w:val="001E035B"/>
    <w:rsid w:val="001E0961"/>
    <w:rsid w:val="001E3EAE"/>
    <w:rsid w:val="001E6F32"/>
    <w:rsid w:val="001F2145"/>
    <w:rsid w:val="001F6262"/>
    <w:rsid w:val="001F67B0"/>
    <w:rsid w:val="001F707F"/>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17464"/>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05D19"/>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056D"/>
    <w:rsid w:val="005C3EE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D5452"/>
    <w:rsid w:val="006D609F"/>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D6BD6"/>
    <w:rsid w:val="007E21B2"/>
    <w:rsid w:val="007E2C4E"/>
    <w:rsid w:val="007F063B"/>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4A97"/>
    <w:rsid w:val="00936CD1"/>
    <w:rsid w:val="00941747"/>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D4F05"/>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uiPriority="98" w:qFormat="1"/>
    <w:lsdException w:name="heading 2" w:semiHidden="1" w:uiPriority="98" w:unhideWhenUsed="1" w:qFormat="1"/>
    <w:lsdException w:name="heading 3" w:semiHidden="1" w:uiPriority="98" w:unhideWhenUsed="1" w:qFormat="1"/>
    <w:lsdException w:name="heading 4" w:semiHidden="1" w:uiPriority="98" w:unhideWhenUsed="1" w:qFormat="1"/>
    <w:lsdException w:name="heading 5" w:semiHidden="1" w:unhideWhenUsed="1" w:qFormat="1"/>
    <w:lsdException w:name="heading 6" w:semiHidden="1" w:uiPriority="98"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5" w:unhideWhenUsed="1"/>
    <w:lsdException w:name="annotation text" w:semiHidden="1" w:uiPriority="0" w:unhideWhenUsed="1"/>
    <w:lsdException w:name="header" w:semiHidden="1" w:uiPriority="82" w:unhideWhenUsed="1"/>
    <w:lsdException w:name="footer" w:semiHidden="1" w:uiPriority="83"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6544C4"/>
    <w:pPr>
      <w:jc w:val="both"/>
    </w:pPr>
    <w:rPr>
      <w:rFonts w:eastAsiaTheme="minorEastAsia"/>
      <w:sz w:val="24"/>
    </w:rPr>
  </w:style>
  <w:style w:type="paragraph" w:styleId="Titolo1">
    <w:name w:val="heading 1"/>
    <w:basedOn w:val="Normale"/>
    <w:next w:val="Normale"/>
    <w:link w:val="Titolo1Carattere"/>
    <w:uiPriority w:val="99"/>
    <w:semiHidden/>
    <w:rsid w:val="0094174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4174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4174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4174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6544C4"/>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417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6544C4"/>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6544C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6544C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6544C4"/>
    <w:rPr>
      <w:i/>
      <w:iCs/>
      <w:smallCaps/>
      <w:spacing w:val="5"/>
    </w:rPr>
  </w:style>
  <w:style w:type="paragraph" w:customStyle="1" w:styleId="ECHRHeader">
    <w:name w:val="ECHR_Header"/>
    <w:aliases w:val="Ju_Header"/>
    <w:basedOn w:val="Intestazione"/>
    <w:uiPriority w:val="4"/>
    <w:qFormat/>
    <w:rsid w:val="006544C4"/>
    <w:pPr>
      <w:tabs>
        <w:tab w:val="clear" w:pos="4536"/>
        <w:tab w:val="clear" w:pos="9696"/>
        <w:tab w:val="center" w:pos="3686"/>
        <w:tab w:val="right" w:pos="7371"/>
      </w:tabs>
      <w:ind w:left="0" w:right="0"/>
      <w:jc w:val="left"/>
    </w:pPr>
    <w:rPr>
      <w:rFonts w:eastAsiaTheme="minorHAnsi"/>
      <w:sz w:val="18"/>
    </w:rPr>
  </w:style>
  <w:style w:type="paragraph" w:customStyle="1" w:styleId="JuAppQuestion">
    <w:name w:val="Ju_App_Question"/>
    <w:basedOn w:val="Normale"/>
    <w:uiPriority w:val="5"/>
    <w:qFormat/>
    <w:rsid w:val="006544C4"/>
    <w:pPr>
      <w:numPr>
        <w:numId w:val="11"/>
      </w:numPr>
      <w:jc w:val="left"/>
    </w:pPr>
    <w:rPr>
      <w:b/>
    </w:rPr>
  </w:style>
  <w:style w:type="character" w:styleId="Enfasigrassetto">
    <w:name w:val="Strong"/>
    <w:uiPriority w:val="99"/>
    <w:semiHidden/>
    <w:qFormat/>
    <w:rsid w:val="006544C4"/>
    <w:rPr>
      <w:b/>
      <w:bCs/>
    </w:rPr>
  </w:style>
  <w:style w:type="paragraph" w:styleId="Nessunaspaziatura">
    <w:name w:val="No Spacing"/>
    <w:basedOn w:val="Normale"/>
    <w:link w:val="NessunaspaziaturaCarattere"/>
    <w:semiHidden/>
    <w:qFormat/>
    <w:rsid w:val="006544C4"/>
    <w:rPr>
      <w:sz w:val="22"/>
    </w:rPr>
  </w:style>
  <w:style w:type="character" w:customStyle="1" w:styleId="NessunaspaziaturaCarattere">
    <w:name w:val="Nessuna spaziatura Carattere"/>
    <w:basedOn w:val="Carpredefinitoparagrafo"/>
    <w:link w:val="Nessunaspaziatura"/>
    <w:semiHidden/>
    <w:rsid w:val="006544C4"/>
    <w:rPr>
      <w:rFonts w:eastAsiaTheme="minorEastAsia"/>
    </w:rPr>
  </w:style>
  <w:style w:type="paragraph" w:customStyle="1" w:styleId="OpiPara">
    <w:name w:val="Opi_Para"/>
    <w:basedOn w:val="Normale"/>
    <w:uiPriority w:val="46"/>
    <w:semiHidden/>
    <w:qFormat/>
    <w:rsid w:val="004047FE"/>
    <w:pPr>
      <w:ind w:firstLine="284"/>
    </w:pPr>
  </w:style>
  <w:style w:type="paragraph" w:customStyle="1" w:styleId="ECHRParaQuote">
    <w:name w:val="ECHR_Para_Quote"/>
    <w:aliases w:val="Ju_Quot"/>
    <w:basedOn w:val="Normale"/>
    <w:uiPriority w:val="14"/>
    <w:qFormat/>
    <w:rsid w:val="006544C4"/>
    <w:pPr>
      <w:spacing w:before="120" w:after="120"/>
      <w:ind w:left="425" w:firstLine="142"/>
    </w:pPr>
    <w:rPr>
      <w:sz w:val="20"/>
    </w:rPr>
  </w:style>
  <w:style w:type="paragraph" w:customStyle="1" w:styleId="JuParaSub">
    <w:name w:val="Ju_Para_Sub"/>
    <w:basedOn w:val="Normale"/>
    <w:uiPriority w:val="13"/>
    <w:qFormat/>
    <w:rsid w:val="004047FE"/>
    <w:pPr>
      <w:ind w:left="284" w:firstLine="284"/>
    </w:pPr>
  </w:style>
  <w:style w:type="paragraph" w:customStyle="1" w:styleId="OpiParaSub">
    <w:name w:val="Opi_Para_Sub"/>
    <w:basedOn w:val="JuParaSub"/>
    <w:uiPriority w:val="47"/>
    <w:semiHidden/>
    <w:qFormat/>
    <w:rsid w:val="006544C4"/>
  </w:style>
  <w:style w:type="paragraph" w:customStyle="1" w:styleId="OpiQuot">
    <w:name w:val="Opi_Quot"/>
    <w:basedOn w:val="ECHRParaQuote"/>
    <w:uiPriority w:val="48"/>
    <w:semiHidden/>
    <w:qFormat/>
    <w:rsid w:val="006544C4"/>
  </w:style>
  <w:style w:type="paragraph" w:customStyle="1" w:styleId="OpiQuotSub">
    <w:name w:val="Opi_Quot_Sub"/>
    <w:basedOn w:val="JuQuotSub"/>
    <w:uiPriority w:val="49"/>
    <w:semiHidden/>
    <w:qFormat/>
    <w:rsid w:val="006544C4"/>
  </w:style>
  <w:style w:type="paragraph" w:customStyle="1" w:styleId="ECHRTitleCentre3">
    <w:name w:val="ECHR_Title_Centre_3"/>
    <w:aliases w:val="Ju_H_Article"/>
    <w:basedOn w:val="Normale"/>
    <w:next w:val="ECHRParaQuote"/>
    <w:uiPriority w:val="27"/>
    <w:qFormat/>
    <w:rsid w:val="006544C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6544C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6544C4"/>
    <w:pPr>
      <w:ind w:left="567"/>
    </w:pPr>
  </w:style>
  <w:style w:type="paragraph" w:customStyle="1" w:styleId="ECHRTitle1">
    <w:name w:val="ECHR_Title_1"/>
    <w:aliases w:val="Ju_H_Head"/>
    <w:basedOn w:val="Normale"/>
    <w:next w:val="Normale"/>
    <w:uiPriority w:val="18"/>
    <w:qFormat/>
    <w:rsid w:val="006544C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6544C4"/>
    <w:pPr>
      <w:tabs>
        <w:tab w:val="center" w:pos="6407"/>
      </w:tabs>
      <w:spacing w:before="720"/>
      <w:jc w:val="right"/>
    </w:pPr>
  </w:style>
  <w:style w:type="paragraph" w:styleId="Titolo">
    <w:name w:val="Title"/>
    <w:basedOn w:val="Normale"/>
    <w:next w:val="Normale"/>
    <w:link w:val="TitoloCarattere"/>
    <w:uiPriority w:val="99"/>
    <w:semiHidden/>
    <w:qFormat/>
    <w:rsid w:val="006544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6544C4"/>
    <w:rPr>
      <w:rFonts w:asciiTheme="majorHAnsi" w:eastAsiaTheme="majorEastAsia" w:hAnsiTheme="majorHAnsi" w:cstheme="majorBidi"/>
      <w:spacing w:val="5"/>
      <w:sz w:val="52"/>
      <w:szCs w:val="52"/>
      <w:lang w:bidi="en-US"/>
    </w:rPr>
  </w:style>
  <w:style w:type="paragraph" w:customStyle="1" w:styleId="OpiHA">
    <w:name w:val="Opi_H_A"/>
    <w:basedOn w:val="ECHRHeading1"/>
    <w:next w:val="OpiPara"/>
    <w:uiPriority w:val="41"/>
    <w:semiHidden/>
    <w:qFormat/>
    <w:rsid w:val="006544C4"/>
    <w:pPr>
      <w:tabs>
        <w:tab w:val="clear" w:pos="357"/>
      </w:tabs>
      <w:outlineLvl w:val="1"/>
    </w:pPr>
    <w:rPr>
      <w:b/>
    </w:rPr>
  </w:style>
  <w:style w:type="character" w:customStyle="1" w:styleId="JUNAMES">
    <w:name w:val="JU_NAMES"/>
    <w:uiPriority w:val="17"/>
    <w:qFormat/>
    <w:rsid w:val="006544C4"/>
    <w:rPr>
      <w:caps w:val="0"/>
      <w:smallCaps/>
    </w:rPr>
  </w:style>
  <w:style w:type="character" w:customStyle="1" w:styleId="JuITMark">
    <w:name w:val="Ju_ITMark"/>
    <w:basedOn w:val="Carpredefinitoparagrafo"/>
    <w:uiPriority w:val="38"/>
    <w:qFormat/>
    <w:rsid w:val="006544C4"/>
    <w:rPr>
      <w:vanish/>
      <w:color w:val="339966"/>
      <w:sz w:val="14"/>
    </w:rPr>
  </w:style>
  <w:style w:type="paragraph" w:customStyle="1" w:styleId="OpiTranslation">
    <w:name w:val="Opi_Translation"/>
    <w:basedOn w:val="Normale"/>
    <w:next w:val="OpiPara"/>
    <w:uiPriority w:val="40"/>
    <w:semiHidden/>
    <w:qFormat/>
    <w:rsid w:val="006544C4"/>
    <w:pPr>
      <w:jc w:val="center"/>
      <w:outlineLvl w:val="0"/>
    </w:pPr>
    <w:rPr>
      <w:i/>
    </w:rPr>
  </w:style>
  <w:style w:type="paragraph" w:customStyle="1" w:styleId="JuCourt">
    <w:name w:val="Ju_Court"/>
    <w:basedOn w:val="Normale"/>
    <w:next w:val="Normale"/>
    <w:uiPriority w:val="16"/>
    <w:qFormat/>
    <w:rsid w:val="006544C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Normale"/>
    <w:uiPriority w:val="19"/>
    <w:qFormat/>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Normale"/>
    <w:uiPriority w:val="20"/>
    <w:qFormat/>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Normale"/>
    <w:uiPriority w:val="21"/>
    <w:qFormat/>
    <w:rsid w:val="006544C4"/>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48"/>
    <w:semiHidden/>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48"/>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Normale"/>
    <w:uiPriority w:val="22"/>
    <w:qFormat/>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Normale"/>
    <w:uiPriority w:val="23"/>
    <w:qFormat/>
    <w:rsid w:val="006544C4"/>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Normale"/>
    <w:uiPriority w:val="24"/>
    <w:qFormat/>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Normale"/>
    <w:uiPriority w:val="25"/>
    <w:qFormat/>
    <w:rsid w:val="006544C4"/>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rPr>
  </w:style>
  <w:style w:type="paragraph" w:customStyle="1" w:styleId="JuParaLast">
    <w:name w:val="Ju_Para_Last"/>
    <w:basedOn w:val="Normale"/>
    <w:next w:val="Normale"/>
    <w:uiPriority w:val="30"/>
    <w:qFormat/>
    <w:rsid w:val="006544C4"/>
    <w:pPr>
      <w:keepNext/>
      <w:keepLines/>
      <w:spacing w:before="240"/>
      <w:ind w:firstLine="284"/>
    </w:pPr>
  </w:style>
  <w:style w:type="paragraph" w:customStyle="1" w:styleId="DecList">
    <w:name w:val="Dec_List"/>
    <w:basedOn w:val="Normale"/>
    <w:uiPriority w:val="9"/>
    <w:qFormat/>
    <w:rsid w:val="006544C4"/>
    <w:pPr>
      <w:spacing w:before="240"/>
      <w:ind w:left="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rPr>
  </w:style>
  <w:style w:type="paragraph" w:customStyle="1" w:styleId="ECHRDecisionBody">
    <w:name w:val="ECHR_Decision_Body"/>
    <w:aliases w:val="Ju_Judges"/>
    <w:basedOn w:val="Normale"/>
    <w:uiPriority w:val="11"/>
    <w:qFormat/>
    <w:rsid w:val="006544C4"/>
    <w:pPr>
      <w:tabs>
        <w:tab w:val="left" w:pos="567"/>
        <w:tab w:val="left" w:pos="1134"/>
      </w:tabs>
      <w:jc w:val="left"/>
    </w:pPr>
  </w:style>
  <w:style w:type="character" w:customStyle="1" w:styleId="Titolo5Carattere">
    <w:name w:val="Titolo 5 Carattere"/>
    <w:basedOn w:val="Carpredefinitoparagrafo"/>
    <w:link w:val="Titolo5"/>
    <w:uiPriority w:val="99"/>
    <w:semiHidden/>
    <w:rsid w:val="006544C4"/>
    <w:rPr>
      <w:rFonts w:asciiTheme="majorHAnsi" w:eastAsiaTheme="majorEastAsia" w:hAnsiTheme="majorHAnsi" w:cstheme="majorBidi"/>
      <w:b/>
      <w:bCs/>
      <w:color w:val="808080"/>
    </w:rPr>
  </w:style>
  <w:style w:type="paragraph" w:customStyle="1" w:styleId="JuList">
    <w:name w:val="Ju_List"/>
    <w:basedOn w:val="Normale"/>
    <w:uiPriority w:val="28"/>
    <w:qFormat/>
    <w:rsid w:val="006544C4"/>
    <w:pPr>
      <w:ind w:left="340" w:hanging="340"/>
    </w:pPr>
  </w:style>
  <w:style w:type="paragraph" w:customStyle="1" w:styleId="JuLista">
    <w:name w:val="Ju_List_a"/>
    <w:basedOn w:val="JuList"/>
    <w:uiPriority w:val="28"/>
    <w:qFormat/>
    <w:rsid w:val="006544C4"/>
    <w:pPr>
      <w:ind w:left="346" w:firstLine="0"/>
    </w:pPr>
  </w:style>
  <w:style w:type="character" w:styleId="Enfasidelicata">
    <w:name w:val="Subtle Emphasis"/>
    <w:uiPriority w:val="99"/>
    <w:semiHidden/>
    <w:qFormat/>
    <w:rsid w:val="006544C4"/>
    <w:rPr>
      <w:i/>
      <w:iCs/>
    </w:rPr>
  </w:style>
  <w:style w:type="paragraph" w:customStyle="1" w:styleId="JuListi">
    <w:name w:val="Ju_List_i"/>
    <w:basedOn w:val="Normale"/>
    <w:next w:val="JuLista"/>
    <w:uiPriority w:val="28"/>
    <w:qFormat/>
    <w:rsid w:val="006544C4"/>
    <w:pPr>
      <w:ind w:left="79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H1">
    <w:name w:val="Opi_H_1"/>
    <w:basedOn w:val="ECHRHeading2"/>
    <w:uiPriority w:val="42"/>
    <w:semiHidden/>
    <w:qFormat/>
    <w:rsid w:val="006544C4"/>
    <w:pPr>
      <w:ind w:left="635" w:hanging="357"/>
      <w:outlineLvl w:val="2"/>
    </w:pPr>
  </w:style>
  <w:style w:type="paragraph" w:customStyle="1" w:styleId="OpiHa0">
    <w:name w:val="Opi_H_a"/>
    <w:basedOn w:val="ECHRHeading3"/>
    <w:uiPriority w:val="43"/>
    <w:semiHidden/>
    <w:qFormat/>
    <w:rsid w:val="006544C4"/>
    <w:pPr>
      <w:ind w:left="833" w:hanging="357"/>
      <w:outlineLvl w:val="3"/>
    </w:pPr>
    <w:rPr>
      <w:b/>
      <w:i w:val="0"/>
      <w:sz w:val="20"/>
    </w:rPr>
  </w:style>
  <w:style w:type="paragraph" w:customStyle="1" w:styleId="ECHRTitleCentre2">
    <w:name w:val="ECHR_Title_Centre_2"/>
    <w:aliases w:val="Dec_H_Case"/>
    <w:basedOn w:val="Normale"/>
    <w:next w:val="Normale"/>
    <w:uiPriority w:val="8"/>
    <w:qFormat/>
    <w:rsid w:val="006544C4"/>
    <w:pPr>
      <w:spacing w:after="240"/>
      <w:jc w:val="center"/>
      <w:outlineLvl w:val="0"/>
    </w:pPr>
    <w:rPr>
      <w:rFonts w:asciiTheme="majorHAnsi" w:hAnsiTheme="majorHAnsi"/>
    </w:rPr>
  </w:style>
  <w:style w:type="character" w:styleId="Enfasicorsivo">
    <w:name w:val="Emphasis"/>
    <w:uiPriority w:val="99"/>
    <w:semiHidden/>
    <w:qFormat/>
    <w:rsid w:val="006544C4"/>
    <w:rPr>
      <w:b/>
      <w:bCs/>
      <w:i/>
      <w:iCs/>
      <w:spacing w:val="10"/>
      <w:bdr w:val="none" w:sz="0" w:space="0" w:color="auto"/>
      <w:shd w:val="clear" w:color="auto" w:fill="auto"/>
    </w:rPr>
  </w:style>
  <w:style w:type="paragraph" w:styleId="Pidipagina">
    <w:name w:val="footer"/>
    <w:basedOn w:val="Normale"/>
    <w:link w:val="PidipaginaCarattere"/>
    <w:uiPriority w:val="49"/>
    <w:semiHidden/>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49"/>
    <w:semiHidden/>
    <w:rsid w:val="008D4752"/>
  </w:style>
  <w:style w:type="character" w:styleId="Rimandonotaapidipagina">
    <w:name w:val="footnote reference"/>
    <w:basedOn w:val="Carpredefinitoparagrafo"/>
    <w:uiPriority w:val="99"/>
    <w:semiHidden/>
    <w:rsid w:val="00941747"/>
    <w:rPr>
      <w:vertAlign w:val="superscript"/>
    </w:rPr>
  </w:style>
  <w:style w:type="paragraph" w:styleId="Testonotaapidipagina">
    <w:name w:val="footnote text"/>
    <w:basedOn w:val="Normale"/>
    <w:link w:val="TestonotaapidipaginaCarattere"/>
    <w:uiPriority w:val="99"/>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lang w:bidi="en-US"/>
    </w:rPr>
  </w:style>
  <w:style w:type="character" w:customStyle="1" w:styleId="Titolo7Carattere">
    <w:name w:val="Titolo 7 Carattere"/>
    <w:basedOn w:val="Carpredefinitoparagrafo"/>
    <w:link w:val="Titolo7"/>
    <w:uiPriority w:val="99"/>
    <w:semiHidden/>
    <w:rsid w:val="006544C4"/>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6544C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6544C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41747"/>
    <w:rPr>
      <w:color w:val="0072BC" w:themeColor="hyperlink"/>
      <w:u w:val="single"/>
    </w:rPr>
  </w:style>
  <w:style w:type="character" w:styleId="Enfasiintensa">
    <w:name w:val="Intense Emphasis"/>
    <w:uiPriority w:val="99"/>
    <w:semiHidden/>
    <w:qFormat/>
    <w:rsid w:val="006544C4"/>
    <w:rPr>
      <w:b/>
      <w:bCs/>
    </w:rPr>
  </w:style>
  <w:style w:type="paragraph" w:styleId="Citazioneintensa">
    <w:name w:val="Intense Quote"/>
    <w:basedOn w:val="Normale"/>
    <w:next w:val="Normale"/>
    <w:link w:val="CitazioneintensaCarattere"/>
    <w:uiPriority w:val="99"/>
    <w:semiHidden/>
    <w:qFormat/>
    <w:rsid w:val="006544C4"/>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6544C4"/>
    <w:rPr>
      <w:rFonts w:eastAsiaTheme="minorEastAsia"/>
      <w:b/>
      <w:bCs/>
      <w:i/>
      <w:iCs/>
      <w:lang w:bidi="en-US"/>
    </w:rPr>
  </w:style>
  <w:style w:type="character" w:styleId="Riferimentointenso">
    <w:name w:val="Intense Reference"/>
    <w:uiPriority w:val="99"/>
    <w:semiHidden/>
    <w:qFormat/>
    <w:rsid w:val="006544C4"/>
    <w:rPr>
      <w:smallCaps/>
      <w:spacing w:val="5"/>
      <w:u w:val="single"/>
    </w:rPr>
  </w:style>
  <w:style w:type="paragraph" w:styleId="Paragrafoelenco">
    <w:name w:val="List Paragraph"/>
    <w:basedOn w:val="Normale"/>
    <w:uiPriority w:val="99"/>
    <w:semiHidden/>
    <w:qFormat/>
    <w:rsid w:val="006544C4"/>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6544C4"/>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6544C4"/>
    <w:rPr>
      <w:rFonts w:eastAsiaTheme="minorEastAsia"/>
      <w:i/>
      <w:iCs/>
      <w:lang w:bidi="en-US"/>
    </w:rPr>
  </w:style>
  <w:style w:type="character" w:styleId="Riferimentodelicato">
    <w:name w:val="Subtle Reference"/>
    <w:uiPriority w:val="99"/>
    <w:semiHidden/>
    <w:qFormat/>
    <w:rsid w:val="006544C4"/>
    <w:rPr>
      <w:smallCaps/>
    </w:rPr>
  </w:style>
  <w:style w:type="table" w:styleId="Grigliatabella">
    <w:name w:val="Table Grid"/>
    <w:basedOn w:val="Tabellanormale"/>
    <w:uiPriority w:val="59"/>
    <w:semiHidden/>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6544C4"/>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OpiHi">
    <w:name w:val="Opi_H_i"/>
    <w:basedOn w:val="ECHRHeading4"/>
    <w:uiPriority w:val="44"/>
    <w:semiHidden/>
    <w:qFormat/>
    <w:rsid w:val="006544C4"/>
    <w:pPr>
      <w:ind w:left="1037" w:hanging="357"/>
      <w:outlineLvl w:val="4"/>
    </w:pPr>
    <w:rPr>
      <w:b w:val="0"/>
      <w:i/>
    </w:rPr>
  </w:style>
  <w:style w:type="paragraph" w:customStyle="1" w:styleId="DummyStyle">
    <w:name w:val="Dummy_Style"/>
    <w:basedOn w:val="Normale"/>
    <w:semiHidden/>
    <w:qFormat/>
    <w:rsid w:val="006544C4"/>
    <w:rPr>
      <w:color w:val="00B050"/>
      <w:lang w:bidi="en-US"/>
    </w:rPr>
  </w:style>
  <w:style w:type="paragraph" w:styleId="Sottotitolo">
    <w:name w:val="Subtitle"/>
    <w:basedOn w:val="Normale"/>
    <w:next w:val="Normale"/>
    <w:link w:val="SottotitoloCarattere"/>
    <w:uiPriority w:val="99"/>
    <w:semiHidden/>
    <w:qFormat/>
    <w:rsid w:val="006544C4"/>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4047FE"/>
    <w:pPr>
      <w:ind w:firstLine="284"/>
    </w:pPr>
  </w:style>
  <w:style w:type="character" w:customStyle="1" w:styleId="SottotitoloCarattere">
    <w:name w:val="Sottotitolo Carattere"/>
    <w:basedOn w:val="Carpredefinitoparagrafo"/>
    <w:link w:val="Sottotitolo"/>
    <w:uiPriority w:val="99"/>
    <w:semiHidden/>
    <w:rsid w:val="006544C4"/>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12"/>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6544C4"/>
    <w:pPr>
      <w:numPr>
        <w:numId w:val="13"/>
      </w:numPr>
    </w:pPr>
  </w:style>
  <w:style w:type="numbering" w:styleId="ArticoloSezione">
    <w:name w:val="Outline List 3"/>
    <w:basedOn w:val="Nessunelenco"/>
    <w:uiPriority w:val="99"/>
    <w:semiHidden/>
    <w:unhideWhenUsed/>
    <w:rsid w:val="006544C4"/>
    <w:pPr>
      <w:numPr>
        <w:numId w:val="14"/>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9"/>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6544C4"/>
    <w:pPr>
      <w:tabs>
        <w:tab w:val="center" w:pos="851"/>
        <w:tab w:val="center" w:pos="6407"/>
      </w:tabs>
      <w:spacing w:before="720"/>
      <w:jc w:val="left"/>
    </w:pPr>
  </w:style>
  <w:style w:type="paragraph" w:customStyle="1" w:styleId="JuTitle">
    <w:name w:val="Ju_Title"/>
    <w:basedOn w:val="Normale"/>
    <w:next w:val="Normale"/>
    <w:uiPriority w:val="3"/>
    <w:qFormat/>
    <w:rsid w:val="006544C4"/>
    <w:pPr>
      <w:spacing w:before="720" w:after="240"/>
      <w:jc w:val="center"/>
      <w:outlineLvl w:val="0"/>
    </w:pPr>
    <w:rPr>
      <w:rFonts w:asciiTheme="majorHAnsi" w:hAnsiTheme="majorHAnsi"/>
      <w:b/>
      <w:caps/>
    </w:rPr>
  </w:style>
  <w:style w:type="paragraph" w:customStyle="1" w:styleId="DecHTitle">
    <w:name w:val="Dec_H_Title"/>
    <w:basedOn w:val="ECHRTitleCentre1"/>
    <w:uiPriority w:val="7"/>
    <w:qFormat/>
    <w:rsid w:val="006544C4"/>
  </w:style>
  <w:style w:type="paragraph" w:styleId="Puntoelenco2">
    <w:name w:val="List Bullet 2"/>
    <w:basedOn w:val="Normale"/>
    <w:uiPriority w:val="99"/>
    <w:semiHidden/>
    <w:rsid w:val="006544C4"/>
    <w:pPr>
      <w:numPr>
        <w:numId w:val="8"/>
      </w:numPr>
      <w:contextualSpacing/>
    </w:pPr>
  </w:style>
  <w:style w:type="paragraph" w:styleId="Puntoelenco3">
    <w:name w:val="List Bullet 3"/>
    <w:basedOn w:val="Normale"/>
    <w:uiPriority w:val="99"/>
    <w:semiHidden/>
    <w:rsid w:val="006544C4"/>
    <w:pPr>
      <w:numPr>
        <w:numId w:val="9"/>
      </w:numPr>
      <w:contextualSpacing/>
    </w:pPr>
  </w:style>
  <w:style w:type="character" w:customStyle="1" w:styleId="CorpotestoCarattere">
    <w:name w:val="Corpo testo Carattere"/>
    <w:basedOn w:val="Carpredefinitoparagrafo"/>
    <w:link w:val="Corpotesto"/>
    <w:uiPriority w:val="99"/>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44C4"/>
    <w:rPr>
      <w:rFonts w:eastAsiaTheme="minorEastAsia"/>
      <w:sz w:val="24"/>
    </w:rPr>
  </w:style>
  <w:style w:type="paragraph" w:styleId="Rientrocorpodeltesto2">
    <w:name w:val="Body Text Indent 2"/>
    <w:basedOn w:val="Normale"/>
    <w:link w:val="Rientrocorpodeltesto2Carattere"/>
    <w:uiPriority w:val="99"/>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6544C4"/>
    <w:rPr>
      <w:b/>
      <w:bCs/>
      <w:szCs w:val="20"/>
    </w:rPr>
  </w:style>
  <w:style w:type="character" w:customStyle="1" w:styleId="SoggettocommentoCarattere">
    <w:name w:val="Soggetto commento Carattere"/>
    <w:basedOn w:val="TestocommentoCarattere"/>
    <w:link w:val="Soggettocommento"/>
    <w:uiPriority w:val="99"/>
    <w:semiHidden/>
    <w:rsid w:val="006544C4"/>
    <w:rPr>
      <w:rFonts w:eastAsiaTheme="minorEastAsia"/>
      <w:b/>
      <w:bCs/>
      <w:sz w:val="20"/>
      <w:szCs w:val="20"/>
    </w:rPr>
  </w:style>
  <w:style w:type="table" w:styleId="Elencoscuro">
    <w:name w:val="Dark List"/>
    <w:basedOn w:val="Tabellanormale"/>
    <w:uiPriority w:val="70"/>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uiPriority w:val="99"/>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uiPriority w:val="99"/>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uiPriority w:val="99"/>
    <w:semiHidden/>
    <w:rsid w:val="006544C4"/>
    <w:rPr>
      <w:i/>
      <w:iCs/>
    </w:rPr>
  </w:style>
  <w:style w:type="character" w:customStyle="1" w:styleId="IndirizzoHTMLCarattere">
    <w:name w:val="Indirizzo HTML Carattere"/>
    <w:basedOn w:val="Carpredefinitoparagrafo"/>
    <w:link w:val="IndirizzoHTML"/>
    <w:uiPriority w:val="99"/>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uiPriority w:val="99"/>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uiPriority w:val="99"/>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uiPriority w:val="99"/>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uiPriority w:val="99"/>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uiPriority w:val="99"/>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uiPriority w:val="99"/>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uiPriority w:val="99"/>
    <w:semiHidden/>
    <w:rsid w:val="006544C4"/>
    <w:rPr>
      <w:rFonts w:asciiTheme="majorHAnsi" w:eastAsiaTheme="majorEastAsia" w:hAnsiTheme="majorHAnsi" w:cstheme="majorBidi"/>
      <w:b/>
      <w:bCs/>
    </w:rPr>
  </w:style>
  <w:style w:type="table" w:styleId="Grigliachiara">
    <w:name w:val="Light Grid"/>
    <w:basedOn w:val="Tabellanormale"/>
    <w:uiPriority w:val="62"/>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uiPriority w:val="99"/>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uiPriority w:val="99"/>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15"/>
      </w:numPr>
      <w:contextualSpacing/>
    </w:pPr>
  </w:style>
  <w:style w:type="paragraph" w:styleId="Puntoelenco4">
    <w:name w:val="List Bullet 4"/>
    <w:basedOn w:val="Normale"/>
    <w:uiPriority w:val="99"/>
    <w:semiHidden/>
    <w:rsid w:val="006544C4"/>
    <w:pPr>
      <w:numPr>
        <w:numId w:val="16"/>
      </w:numPr>
      <w:contextualSpacing/>
    </w:pPr>
  </w:style>
  <w:style w:type="paragraph" w:styleId="Puntoelenco5">
    <w:name w:val="List Bullet 5"/>
    <w:basedOn w:val="Normale"/>
    <w:uiPriority w:val="99"/>
    <w:semiHidden/>
    <w:rsid w:val="006544C4"/>
    <w:pPr>
      <w:numPr>
        <w:numId w:val="17"/>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uiPriority w:val="99"/>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uiPriority w:val="99"/>
    <w:semiHidden/>
    <w:rsid w:val="006544C4"/>
    <w:pPr>
      <w:numPr>
        <w:numId w:val="18"/>
      </w:numPr>
      <w:contextualSpacing/>
    </w:pPr>
  </w:style>
  <w:style w:type="paragraph" w:styleId="Numeroelenco2">
    <w:name w:val="List Number 2"/>
    <w:basedOn w:val="Normale"/>
    <w:uiPriority w:val="99"/>
    <w:semiHidden/>
    <w:rsid w:val="006544C4"/>
    <w:pPr>
      <w:numPr>
        <w:numId w:val="19"/>
      </w:numPr>
      <w:contextualSpacing/>
    </w:pPr>
  </w:style>
  <w:style w:type="paragraph" w:styleId="Numeroelenco3">
    <w:name w:val="List Number 3"/>
    <w:basedOn w:val="Normale"/>
    <w:uiPriority w:val="99"/>
    <w:semiHidden/>
    <w:rsid w:val="006544C4"/>
    <w:pPr>
      <w:numPr>
        <w:numId w:val="20"/>
      </w:numPr>
      <w:contextualSpacing/>
    </w:pPr>
  </w:style>
  <w:style w:type="paragraph" w:styleId="Numeroelenco4">
    <w:name w:val="List Number 4"/>
    <w:basedOn w:val="Normale"/>
    <w:uiPriority w:val="99"/>
    <w:semiHidden/>
    <w:rsid w:val="006544C4"/>
    <w:pPr>
      <w:numPr>
        <w:numId w:val="21"/>
      </w:numPr>
      <w:contextualSpacing/>
    </w:pPr>
  </w:style>
  <w:style w:type="paragraph" w:styleId="Numeroelenco5">
    <w:name w:val="List Number 5"/>
    <w:basedOn w:val="Normale"/>
    <w:uiPriority w:val="99"/>
    <w:semiHidden/>
    <w:rsid w:val="006544C4"/>
    <w:pPr>
      <w:numPr>
        <w:numId w:val="22"/>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character" w:customStyle="1" w:styleId="ECHRParaChar">
    <w:name w:val="ECHR_Para Char"/>
    <w:aliases w:val="Ju_Para Char"/>
    <w:link w:val="ECHRPara"/>
    <w:uiPriority w:val="12"/>
    <w:rsid w:val="007F063B"/>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567F1-139C-451F-A447-9030E6141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06CD6A-0460-4BDC-B2C2-9B83F6C7A441}">
  <ds:schemaRefs>
    <ds:schemaRef ds:uri="http://schemas.microsoft.com/sharepoint/v3/contenttype/forms"/>
  </ds:schemaRefs>
</ds:datastoreItem>
</file>

<file path=customXml/itemProps3.xml><?xml version="1.0" encoding="utf-8"?>
<ds:datastoreItem xmlns:ds="http://schemas.openxmlformats.org/officeDocument/2006/customXml" ds:itemID="{1FAC0952-0550-4840-BADA-8240C225D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259920-F5BB-48F0-97D7-BDE90D9C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1690</Words>
  <Characters>9639</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11307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2016-04-19T16:18:00Z</dcterms:created>
  <dcterms:modified xsi:type="dcterms:W3CDTF">2016-04-19T16:18:00Z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300/05</vt:lpwstr>
  </property>
  <property fmtid="{D5CDD505-2E9C-101B-9397-08002B2CF9AE}" pid="4" name="CASEID">
    <vt:lpwstr>169057</vt:lpwstr>
  </property>
  <property fmtid="{D5CDD505-2E9C-101B-9397-08002B2CF9AE}" pid="5" name="OrigTemp">
    <vt:lpwstr>French\Documents\DF01 Decisions et Rapports\Reports automation IT ONLY\Décision.dotx</vt:lpwstr>
  </property>
  <property fmtid="{D5CDD505-2E9C-101B-9397-08002B2CF9AE}" pid="6" name="ContentTypeId">
    <vt:lpwstr>0x010100558EB02BDB9E204AB350EDD385B68E10</vt:lpwstr>
  </property>
</Properties>
</file>